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22/05/1983</w:t>
      </w:r>
    </w:p>
    <w:p/>
    <w:p>
      <w:r>
        <w:t xml:space="preserve">PITUCA E BI-TUCA NO MESMO RAMO DE NEGÓCIO — AÇÃO PROCEDENTE - MULTA DIÁRIA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está certa a sentença, quando reconhece o uso indevido pela ré da denominação BI-TUCA, no mesmo ramo de comércio em que tem a Autora o privilégio legal de uso da marca PITUCA decorrente de seu registro válido. A flagrante confusão entre tais denominações dispensa outros fundamentos demonstrativos da desleal concorrência que de tal confusão decorre. - Não há, por outro lado, confundir-se marca registrada em favor da Autora com o direito autorial de que se diz titular a ré. - Mantida, portanto, a sentença, apenas no tocante à incidência da cominação, que se dará desde a citação, desde quando ficou a ré ciente de que usava indevidamente da denominação BI-TUCA, contra o direito da Autora, destarte lesada, sujeita, porém, a correção monetária a lei que a regulou. Julgado em 23-05-1983 Arquivo do EMFOR, TJ/1.139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nome comercial BI-TUCA concorre deslealmente com o nome comercial PITUCA, se o ramo de negócio é o mesmo, devendo a multa diária incidir a partir da citação.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2026-10-26T03:45:52.033Z</dcterms:created>
  <dcterms:modified xsi:type="dcterms:W3CDTF">2026-10-26T03:45:52.033Z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