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NO AUTO DO PROCESSO</w:t>
      </w:r>
    </w:p>
    <w:p>
      <w:r>
        <w:rPr>
          <w:i/>
          <w:iCs/>
          <w:color w:val="666666"/>
        </w:rPr>
        <w:t xml:space="preserve">PETIÇÃO DE INTERPOSIÇÃO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22/05/1983</w:t>
      </w:r>
    </w:p>
    <w:p/>
    <w:p>
      <w:r>
        <w:t xml:space="preserve">PITUCA E BI-TUCA NO MESMO RAMO DE NEGÓCIO — AÇÃO PROCEDENTE - MULTA DIÁRIA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está certa a sentença, quando reconhece o uso indevido pela ré da denominação BI-TUCA, no mesmo ramo de comércio em que tem a Autora o privilégio legal de uso da marca PITUCA decorrente de seu registro válido. A flagrante confusão entre tais denominações dispensa outros fundamentos demonstrativos da desleal concorrência que de tal confusão decorre. - Não há, por outro lado, confundir-se marca registrada em favor da Autora com o direito autorial de que se diz titular a ré. - Mantida, portanto, a sentença, apenas no tocante à incidência da cominação, que se dará desde a citação, desde quando ficou a ré ciente de que usava indevidamente da denominação BI-TUCA, contra o direito da Autora, destarte lesada, sujeita, porém, a correção monetária a lei que a regulou. Julgado em 23-05-1983 Arquivo do EMFOR, TJ/1.139 EMFOR 419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nome comercial BI-TUCA concorre deslealmente com o nome comercial PITUCA, se o ramo de negócio é o mesmo, devendo a multa diária incidir a partir da citação. (Ementa do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2026-07-28T04:22:10.924Z</dcterms:created>
  <dcterms:modified xsi:type="dcterms:W3CDTF">2026-07-28T04:22:10.924Z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