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>
      <w:r>
        <w:rPr>
          <w:b/>
          <w:bCs/>
        </w:rPr>
        <w:t xml:space="preserve">Julgado em: </w:t>
      </w:r>
      <w:r>
        <w:t xml:space="preserve">10/03/1983</w:t>
      </w:r>
    </w:p>
    <w:p/>
    <w:p>
      <w:r>
        <w:t xml:space="preserve">MATÉRIA SUSCITADA NO REQUERIMENTO — COMO DEVE SER RECEBIDA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sentença de indeferimento..., invocam-se o art. 284 e seu parágrafo único, o art. 295, nº VI e seu parágrafo único, nº IV, do Código de Processo Civil. Afirma-se que "o pedido de falência é inacumulável com qualquer outro" e sustenta-se o descabimento de correção monetária em depósito elisivo de quebra, com invocação de V. Acórdão da E. 8ª Câmara Civil. Contra essa decisão insurgiu-se o requerente... - ................................................................................ - Ainda... a admitir-se que a requerente cumulou pedidos, e que na verdade fossem eles incompatíveis, a solução correta consistiria em deferir parcialmente a inicial, no tocante ao requerimento de quebra puro e simples. Atente-se na lição de PONTES DE MIRANDA, "Comentários ao Código de Processo Civil", t. IV, 2ª ed., Rio, 1979, pág. 141. "A petição com cumulação de pedidos pode expor-se a que o Juiz entenda não caber a cumulação e no exame liminar pode ele assumir duas atitudes: a) julgar inepta a inicial (o que nem sempre se dá, porque incumulabilidade não contém, de regra, base suficiente para se julgar inepto o peticionário, salvo se há o elemento da incompatibilidade); b) desprezar o pedido, posterior, ou desprezar os pedidos, posteriores, que forem incumuláveis com o primeiro, ainda que se atente à anterioridade lógica, a despeito da posterioridade redacional ou de articulação, que lhe deu o autor. No sentido de a) sem distinguir da cumulação de pedidos incumulávei s a inépcia no pedir, o que seria demasiado, a 2ª Câmara Civil do Tribunal de Justiça de São Paulo, a 25 de março de 1952 (R. dos Tribs., 201, 342).Sem razão. Não se sacrifica o que é separável, nem o que é compatível, maxime se o sacrifício do elemento se basearia na não-miscibilidade ou na impossibilidade de junção do outro elemento; se a , não se pode juntar b, b é que há de ser repelido". - Com autoridade incomparavelmente menor, em despretensiosa obra de exposição sistemática do procedimento, versando a hipótese de ocorrer, com relação a um ou alguns dos pedidos cumulados, qualquer motivo de indeferimento, teve o redator do presente acórdão oportunidade de escrever que "o Juiz indeferirá a inicial no tocante ao pedido inviável ou aos pedidos inviáveis, deferindo-a no concernente ao outro ou aos outros" (O Novo Processo Civil Brasileiro, 5ª ed., Rio, 1982, pág. 33; sem grifo no original). - Cumpre reconhecer que a Apelante, ao formular seu requerimento, antecipou problema que talvez nem se chegasse a por no processo. Não era aquela, à evidência, a ocasião adequada para suscitar a questão da incidência ou da não incidência da correção monetária, até porque não se podia prever que atitude tomaria, uma vez citada, a requerida. O que cabia requerer era a falência, e nada mais; a restante discussão viria a seu tempo, se viesse. - Mas o MM Dr. Juiz "a quo", por sua vez, incidiu, "data venia", em equívoco semelhante. Em vez de colocar o problema nos devidos, deferindo a inicial para mandar citar a requerida e deixando para outro momento o exame da questão puramente eventual - e por conseguinte, naquele ensejo, prematura -, reagiu com excesso de rigor, trancando no nascedouro o procedimento, por uma razão, afinal de contas, hipotética. A questão da correção monetária só se poria in "concreto" caso a requerida viesse a proceder ao depósito, com intuito de liberar-se ou de elidir a falência. Ora, absolutamente impossível era, repita-se , no momento de despachar a inicial, adivinhar o que faria a requerida - e portanto saber se o problema surgiria ou não. - Escusado frisar que a Câmara, ao prover o recurso pelo voto da maioria, não se está pronunciando sobre a incidência ou a não incidência da correção monetária. Se o fizesse, incorreria no mesmo erro que se lhe afigurou ter cometido o Juízo "a quo". - Deram provimento à apelação para o fim exclusivo de deferir-se a inicial e processar-se como de direito o requerimento de falência, deixando-se para a oportunidade própria, se sobreviver, o exame da questão relativa à correção monetária do débito. Julgado em 11-03-1983 DO VOTO VENCIDO DO DESEMBARGADOR C. H. PORTO CARREIRO - ...Poderia o Juiz indeferir o pedido inicial, sem avançar no mérito, somente porque a parte autora não se conformou com colocação sobre o não cabimento de determinada pretensão, exposta na petição vestibular? Esta é uma delicada questão que necessita um exame, ainda que rápido, para que possam ser apreciadas as razões do recurso da Autora. - O Dr. Juiz "a 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momento de despachar o requerimento de falência, não é oportuno apreciar a questão, prematuramente suscitada pelo requerente, da correção monetária do débito, na hipótese de pagamento ou depósito pela requerida. Mas a afirmação feita pelo requerente, de que o débito terá de ser corrigido não justifica o indeferimento da inicial; cabe ao Juiz remeter o exame da matéria para a ocasião adequada.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2026-10-26T02:45:31.504Z</dcterms:created>
  <dcterms:modified xsi:type="dcterms:W3CDTF">2026-10-26T02:45:31.504Z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