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02/09/1981</w:t>
      </w:r>
    </w:p>
    <w:p/>
    <w:p>
      <w:r>
        <w:t xml:space="preserve">DIFERIMENTO PARA O PRODUTO INDUSTRIALIZADO — DIREITO AO CRÉDITO - QUANDO NÃO O TEM O COMPRADOR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esta orientação não viola o princípio da não cumulatividade. Com efeito, esta norma consiste, como está expresso no art. 23, II, da Constituição e no Decreto-Lei nº 406, em permitir o abatimento, em cada operação, do montante do imposto "cobrado nas anteriores, pelo mesmo ou por outro Estado". - Destarte, a condição para que o imposto seja abatido em uma operação é de que esse valor tenha sido cobrado na operação anterior. Se não houve recolhimento por parte do Estado e nem Lei que isente o contribuinte do imposto anterior, não há que se falar em direito de abatimento nem em lesão ao princípio da não cumulatividade. - Ao contrário, determinando o abatimento do tributo sem que ele fosse devido na operação anterior, evidente que o acórdão recorrido, ele, sim, é que violou o inciso II, do art 23 da Constituição Federal. - Aliás, nesse sentido tem sido a jurisprudência pacífica do Supremo Tribunal Federal, que tem entendido não ferir a Constituição o diferimento do pagamento do tributo estabelecido na legislação paulista. - Por estes motivos, conheço dos embargos e os recebo, para que prevaleça o estabelecido na decisão paradigma. Julgado em 03-09-1981 Revista Trimestral de Jurisprudência. Abril, 1983 - Vol. 104 - Pág. 213 EMFOR 419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tendo sido pago o tributo quando da aquisição da sucata, o qual ficou diferido para incidir sobre o produto já industrializado, não tem o industrial direito ao crédito referente à compra.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2026-06-17T17:56:14.231Z</dcterms:created>
  <dcterms:modified xsi:type="dcterms:W3CDTF">2026-06-17T17:56:14.231Z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