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02/09/1981</w:t>
      </w:r>
    </w:p>
    <w:p/>
    <w:p>
      <w:r>
        <w:t xml:space="preserve">DIFERIMENTO PARA O PRODUTO INDUSTRIALIZADO — DIREITO AO CRÉDITO - QUANDO NÃO O TEM O COMPRADOR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esta orientação não viola o princípio da não cumulatividade. Com efeito, esta norma consiste, como está expresso no art. 23, II, da Constituição e no Decreto-Lei nº 406, em permitir o abatimento, em cada operação, do montante do imposto "cobrado nas anteriores, pelo mesmo ou por outro Estado". - Destarte, a condição para que o imposto seja abatido em uma operação é de que esse valor tenha sido cobrado na operação anterior. Se não houve recolhimento por parte do Estado e nem Lei que isente o contribuinte do imposto anterior, não há que se falar em direito de abatimento nem em lesão ao princípio da não cumulatividade. - Ao contrário, determinando o abatimento do tributo sem que ele fosse devido na operação anterior, evidente que o acórdão recorrido, ele, sim, é que violou o inciso II, do art 23 da Constituição Federal. - Aliás, nesse sentido tem sido a jurisprudência pacífica do Supremo Tribunal Federal, que tem entendido não ferir a Constituição o diferimento do pagamento do tributo estabelecido na legislação paulista. - Por estes motivos, conheço dos embargos e os recebo, para que prevaleça o estabelecido na decisão paradigma. Julgado em 03-09-1981 Revista Trimestral de Jurisprudência. Abril, 1983 - Vol. 104 - Pág. 213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pago o tributo quando da aquisição da sucata, o qual ficou diferido para incidir sobre o produto já industrializado, não tem o industrial direito ao crédito referente à compra.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2026-10-26T03:27:21.451Z</dcterms:created>
  <dcterms:modified xsi:type="dcterms:W3CDTF">2026-10-26T03:27:21.451Z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