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04/08/1980</w:t>
      </w:r>
    </w:p>
    <w:p/>
    <w:p>
      <w:r>
        <w:t xml:space="preserve">PROCESSO RELATIVO — QUANDO INEXISTE O LITISCONSÓRCIO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Ensina CELSO BARBI, em seus "Comentários ao CPC", que: "No caso de propositura de ação que versar sobre bem imóvel do casal ou direitos reais sobre imóvel alheio não existe propriamente um litisconsórcio necessário ativo, porque o Código não exige que os dois cônjuges figurem como autores. A Lei se satisfaz com a simples concordância de um cônjuge à propositura da ação pelo outro. Assim autor será apenas o que propôs a ação, e não também aquele que somente deu o seu consentimento".(CPC, 1º vol., tomo 1, pág. 135). - Acontece que, no caso, a ação de divisão é simplesmente uma ação pessoal e não real. E, por outro lado, a alegação de nulidade invocada pelo fato de a mulher do autor não ter dado consentimento ao marido para propositura da ação, tal alegação somente caberia à mulher do autor, nunca à agravante ("RT", 135/742; "RT", 142/78 e "RT", 259/398). - .......................................................................................... - Pelo exposto, nego provimento ao recurso. Julgado em 05-08-1980 Jurisprudência Mineira. Julho a Setembro, 1980 - Vol. 79 - Pág. 55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processos que versarem sobre bem imóvel do casal, não existe litisconsórcio necessário ativo, porque a Lei se satisfaz com a simples concordância de um cônjuge à propositura da ação, pelo que o autor será apenas o que propõe a lide e não, também, aquele que somente anuiu.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2026-09-11T00:09:39.163Z</dcterms:created>
  <dcterms:modified xsi:type="dcterms:W3CDTF">2026-09-11T00:09:39.163Z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