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02/12/1981</w:t>
      </w:r>
    </w:p>
    <w:p/>
    <w:p>
      <w:r>
        <w:t xml:space="preserve">PRAZO DE DECADÊNCIA — EM QUE SE DISTINGUE DO PRAZO PRESCRICIONAL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tem razão o Embargante, pois, realmente, a decadência se consumou. - É certo que a tendência doutrinária é para considerar o termo inicial do prazo não o da data da celebração do ato, mas sim o da data do registro (9 de dezembro de 1969). - Mas a ação só foi proposta em 9 de fevereiro de 1978, fora, pois, do prazo de quatro anos a que alude o artigo 178, § 9º, V, "b", do Código Civil. - A notificação prévia, requerida pelo Autor-Embargante, não poderia suspender, nem interromper o aludido prazo: "A uma, porque já findo, eis que a data do despacho que ordenou a notificação é de 13 de fevereiro de 1974; A duas, porque o prazo é de decadência e não de prescrição". - De fato, há três importantes critérios para se distinguir a prescrição da decadência, e qualquer que seja o adotado, constatar-se-á ser decadencial a hipótese dos autos. - Pelo primeiro critério, que tem origem no direito processual, sendo constitutiva (positiva ou negativa) a sentença, o prazo para a propositura da ação será de decadência. É o critério preconizado por GIUSEPPE CHIOVENDA, que aponta, entre esses casos, precisamente o de anulação de negócios jurídicos (consultem-se, a respeito, AGNELO AMORIM FILHO "Critério Científico para Distinguir a Prescrição da Decadência e Identificar as Ações Imprescritíveis, Revista dos Tribunais", 300/7; SILVIO RODRIGUES, "Direito Civil", volume 1º, pág. 295, edição de 1974). - O segundo critério, que parte da distinção entre direitos subjetivos e potestativos, acentua que somente nos primeiros haveria a figura da lesão, porquanto só naqueles é que se patentearia o poder de agir correspondente a um dever jurídico; são direitos munidos de pretensão, que se traduzem por uma atividade necessária do sujeito passivo do vínculo jurídico para o exercício do poder de agir. Não é, evidentemente, o caso dos autos, por isso que, aqui, marca a Lei um prazo para o exercício do direito, sob pena de o mesmo se extinguir. Trata-se de direito potestativo, em que o sujeito passivo simplesmente sofre as conseqüências do poder de ação do sujeito ativo. E são direitos desprovidos de pretensão, aos quais o poder de agir tem como correlata simples sujeição, não um dever jurídico. É como se disse, o caso "sub judice", em que a Lei marcou um prazo para que o Autor declarasse sua vontade, no sentido de se anular o negócio jurídico. E essa não declaração volitiva no prazo de quatro anos acarreta a perda do próprio direito. - Pelo terceiro critério, que é perfilhado por boa parte da civilística brasileira (por todos, ORLANDO GOMES, "Introdução ao Direito Civil", volume 1º, pág. 558, edição de 1977), quando é idêntica a origem da ação à origem do direito, nasce aquela ao mesmo tempo que este. Conseqüentemente, o prazo para exercer o direito por meio da ação é extintivo, tratando-se, destarte, de decadência. E é, obviamente, a hipótese dos autos. - Ora, sendo de decadência o prazo, não comporta ele suspensão, nem interrupção, institutos que somente têm cabimento na prescrição, donde a ineficácia de qualquer notificado judicial para impedir a consumação da caducidade. Julgado em 03-12-1981 Revista de Jurisprudência. Arquivos dos Tribunais de Alçada do Rio de Janeiro. 1º Semestre, 1982 - Nº 30 - Pág. 86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anulação de negócio jurídico é de decadência e não de prescrição, sendo pois, insuscetível de interrupção, ou suspensão.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2026-10-26T02:14:09.212Z</dcterms:created>
  <dcterms:modified xsi:type="dcterms:W3CDTF">2026-10-26T02:14:09.212Z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