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Julgado em: </w:t>
      </w:r>
      <w:r>
        <w:t xml:space="preserve">23/05/1983</w:t>
      </w:r>
    </w:p>
    <w:p/>
    <w:p>
      <w:r>
        <w:t xml:space="preserve">ATOS PRATICADOS — QUANDO NÃO SÃO NULOS E SIM ANULÁVEIS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Ilustre Dr. Juiz julgou extinto o processo, determinando a nulidade de todos os atos praticados pelo advogado do autor, desde que não estava inscrito na OAB - o que geraria a sua desqualificação processual -, em face do que prescreve taxativamente o artigo 76 da lei nº 4.215/1963. - O dispositivo em tela declara que são nulos os atos privativos de advogado, praticados por pessoas não inscritas na Ordem dos Advogados, com o sentido claro de preservar o exercício da profissão, para aquele que for devidamente credenciado através da inscrição. - Na hipótese, realmente o patrono do autor, embora fosse formado há longo tempo, não se habilitara na OAB para exercer a advocacia. O autor, alertado da situação anômala do seu procurador, procurou corrigi-la, outorgando mandato a profissional devidamente habilitado..., que ingressou nos autos ratificando os atos praticados pelo anterior patrono, convalidando-os. - O ilustre Dr. Juiz, no seu respeitável entendimento, decidiu que eram nulos todos os atos processuais. No entanto, a orientação generalizada tem sido no sentido de que a hipótese versa situação de irregularidade, anulável portanto, que pode ser corrigida "a posteriori". - Este o sentido da regra do artigo 13 do C.P.Civil, posterior ao Estatuto da Ordem dos Advogados de 1963, que determina ao Juiz, verificando a incapacidade processual ou irregularidade de representação da parte, que se suspenda o processo e marque prazo razoável para ser sanado o defeito. - A parte assim procedeu. Corrigiu a irregularidade, devendo o processo seguir os seus trâmites normais. O dispositivo do Estatuto da Ordem está sujeito ao tempero da lei processual civil. Trata-se de caso de anulabilidade e não de nulidad e. Nem se pode pretender que a parte possa ser prejudicada, em face da situação como retratada nos autos. - Ante o exposto, dá-se provimento ao recurso, para anular a sentença, prejudicado o outro recurso que pretendia a elevação da verba honorária. Julgado em 24-05-1983 Arquivo do Ementário Forense, TJ/1.143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Atos praticados por quem não é advogado são anuláveis e não nulos, em face do que prescreve o art. 13 do C.P.C., temperando o rigor semântico do art. 76 do Estatuto da O.A.B.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2026-10-26T02:23:35.482Z</dcterms:created>
  <dcterms:modified xsi:type="dcterms:W3CDTF">2026-10-26T02:23:35.482Z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