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20/12/1982</w:t>
      </w:r>
    </w:p>
    <w:p/>
    <w:p>
      <w:r>
        <w:t xml:space="preserve">INDICAÇÃO — FALTA - SE PREJUDICA O AGRAVO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merece acolhida a preliminar de inadmissibilidade do agravo, fundada na mera circunstância de não terem os Agravantes indicado peças para traslado, na petição de interposição. O art. 523, parágrafo único, do Código de Processo Civil, enumera peças de traslado obrigatório, independentemente de indicação pelo recorrente, que pode entende-las bastantes para tornar compreensível a questão. Isso sem falar na possibilidade, que se concede em termos expressos ao juiz (art. 527, § 3º) e ao relatar, no órgão "ad quem" (art. 557, caput, 2ª parte), de mandar suprir as eventuais deficiências do instrumento. - Correta, pois, a lição de SÉRGIO BERMUDES, "Comentários ao Código de Processo Civil" vol. VII. 2ª ed., S. Paulo, 1977, pág. 172, no sentido de que a falta do indicação de peças para traslado não autoriza o indeferimento do agravo, com apoio em precedente deste Tribunal: A.I. nº 26.745, relatado pelo eminente Desembargador GOULART PIRES (Rev. Bras. de Dir. Proc., vol. 5, pág. 171). Julgado em 21-12-1982 Arquivo do Ementário Forense, TJ/1.144 EMFOR 420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torna inadmissível o agravo, por si só, a omissão do agravante em indicar peças para traslado.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2026-06-17T16:24:03.579Z</dcterms:created>
  <dcterms:modified xsi:type="dcterms:W3CDTF">2026-06-17T16:24:03.579Z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