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05/12/1982</w:t>
      </w:r>
    </w:p>
    <w:p/>
    <w:p>
      <w:r>
        <w:t xml:space="preserve">SE É MEIO PARA REIVINDICAR A PATERNIDADE DE UMA OBRA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fato de o autor de um livro haver eventualmente errado, mesmo acerca da titularidade de direito de autor, não enseja a busca e apreensão de seus exemplares, medida judicial que a Lei nº 5.988, de 1973, reserva para a impressão de obra literária, científica ou artística sem a autorização do autor, a reprodução fraudulenta de obra dessa natureza e às transmissões, reproduções ou publicações realizadas ainda sem autorização do autor (art. 122 a 125). - A reivindicação da paternidade da obra, que é direito "moral" do autor, e que passa aos herdeiros, não se exerce, pois, mediante busca e apreensão. - Incumbia ao autor, se puder demonstrar que o seu ilustre pai é autor do projeto da Biblioteca Nacional e o construtor do seu edifício (e no processo há provas do que afirma), recorrer a outros meios, não os judiciais, por exemplo, perante o Instituto do Patrimônio Histórico e Artístico Nacional, tal como refere a coordenadora do livro, interessada em que afinal aflore a verdade. Julgado em 06-12-1982 Arquivo do Ementário Forense, TJ/1.148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a busca e apreensão dos exemplares o meio judicial adequado ao exercício do direito a reivindicar a paternidade de obra literária, científica ou artística.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2026-06-17T16:34:39.752Z</dcterms:created>
  <dcterms:modified xsi:type="dcterms:W3CDTF">2026-06-17T16:34:39.752Z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