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05/12/1982</w:t>
      </w:r>
    </w:p>
    <w:p/>
    <w:p>
      <w:r>
        <w:t xml:space="preserve">SE É MEIO PARA REIVINDICAR A PATERNIDADE DE UMA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o autor de um livro haver eventualmente errado, mesmo acerca da titularidade de direito de autor, não enseja a busca e apreensão de seus exemplares, medida judicial que a Lei nº 5.988, de 1973, reserva para a impressão de obra literária, científica ou artística sem a autorização do autor, a reprodução fraudulenta de obra dessa natureza e às transmissões, reproduções ou publicações realizadas ainda sem autorização do autor (art. 122 a 125). - A reivindicação da paternidade da obra, que é direito "moral" do autor, e que passa aos herdeiros, não se exerce, pois, mediante busca e apreensão. - Incumbia ao autor, se puder demonstrar que o seu ilustre pai é autor do projeto da Biblioteca Nacional e o construtor do seu edifício (e no processo há provas do que afirma), recorrer a outros meios, não os judiciais, por exemplo, perante o Instituto do Patrimônio Histórico e Artístico Nacional, tal como refere a coordenadora do livro, interessada em que afinal aflore a verdade. Julgado em 06-12-1982 Arquivo do Ementário Forense, TJ/1.148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 busca e apreensão dos exemplares o meio judicial adequado ao exercício do direito a reivindicar a paternidade de obra literária, científica ou artística.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2026-10-26T02:23:39.307Z</dcterms:created>
  <dcterms:modified xsi:type="dcterms:W3CDTF">2026-10-26T02:23:39.308Z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