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ALBERTO MENEZES</w:t>
      </w:r>
    </w:p>
    <w:p/>
    <w:p>
      <w:r>
        <w:t xml:space="preserve">SUSPENSÃO DE ATO IMPEDITIVO DE ÓRGÃO GESTOR DE MÃO-DE-OBRA —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eis as razões em que louva o r. parecer ministerial: "O autor da ação postula a suspensão do ato coator que impede seu ingresso, como trabalhador aposentado e credenciado, na área portuária. O litígio não nos parece, decorrente de relação empregatícia, nem de decisão ou sentença versando sobre questão laboral. Portanto, trata-se de lide que exorbita o âmbito da Justiça do Trabalho. A Consolidação das Leis do Trabalho estabelece: "... Art. 651. A competência das Juntas de Conciliação e Julgamento é determinada pela localidade onde o empregado, reclamante ou reclamado, prestar serviços ao empregador, ainda que tenha sido contratado noutro local ou no estrangeiro. § 1º Quando a parte no dissídio agente ou viajante, é competente a Junta de localidade onde o empregador tiver o seu domicílio, salvo se o empregado estiver imediatamente subordinado à agência ou filial, caso em que será competente a Junta em cuja jurisdição estiver situada a mesma agência ou filial. § 2º A competência das Juntas de Conciliação e Julgamento, estabelecida neste artigo, estende-se aos dissídios ocorridos em agência ou filial no estrangeiro, desde que o empregado seja brasileiro e não haja convenção internacional dispondo em contrário. § 3º Em se tratando de empregador que promova realização de atividades fora do lugar do contrato de trabalho, é assegurado ao empregado apresentar reclamação no foro da celebração do contrato ou no da prestação dos respectivos serviços. Art. 652. Compete às Juntas de Conciliação e Julgamento: a) conciliar e julgar: I - os dissídios em que se pretenda o reconhecimento da estabilidade do empregado; II - os dissídios concernentes à remuneração, férias e indenizações po r motivo de rescisão do contrato individual de trabalho; III - os dissídios resultantes de contratos de empreitadas em que o empreiteiro seja operário ou artífice; IV - os demais dissídios concernentes ao contrato individual de trabalho; b) processar e julgar os inquéritos para apuração de falta grave; c) julgar embargos opostos às suas próprias decisões; d) impor multas e demais penalidades relativas aos atos de sua competência. Parágrafo único. Terão preferência para julgamento os dissídios sobre pagamento de salários e aqueles que derivarem da falência do empregador, podendo o presidente da Junta, a pedido do interessado, constituir processo em separado, sempre que a reclamação também versar sobre outros assuntos". O art. 114 da Constituição da República dispõe: "Compete à Justiça do Trabalho conciliar e julgar os dissídios individuais e coletivos entre trabalhadores e empregadores, abrangidos os entes de direito público e da administração pública direta e indireta dos Municípios, do Distrito Federal, dos Estados e da União, e, na forma da lei, outras controvérsias decorrentes da relação de trabalho, bem como os litígios que tenham origem no cumprimento de suas próprias sentenças, inclusive coletivas". A competência é definida pela análise do pedido e da causa de pedir. A pretensão do autor não possui conteúdo trabalhista. Não se pleiteia o reconhecimento de relação de emprego ou a aplicação de normas celetistas, mas sim questões vinculadas a princípios estatísticos e/ou legais, atinentes à atividade-fim da entidade gestora da mão-de-obra. Neste sentido, os seguintes arestos são aplicáveis, analogicamente: "CONFLITO DE COMPETÊNCIA. AÇÃO DE COBRANÇA. JUSTIÇA DO TRABALHO OU JUSTIÇA COMUM DO ESTADO. PEDIDO E CAUSA DE PEDIR. I - O pedido e a causa de pedir, havendo dissenso entre a Justiça Comum do Estado e a Justiça do Trabalho, definem a natureza da lide e, por cons eqüência, a competência "ratione materiae" para dirimi-la. II - Assim, compete à Justiça Comum processar e julgar ação de cobrança proposta por ex-empregador contra ex-empregada, objetivando receber a importância equivalente à hospedagem de filho menor da ré em hotel de propriedade do autor, ainda que a dívida tenha sido contraída no mesmo período em que vigorou o contrato de trabalho. III - Conflito conhecido para declarar competente a Justiça Comum. Por unanimidade, conhecer do conflito e declarar competente o Juízo de Direito de Alta Floresta/MT, o suscitado" (STJ - CC n. 18.108/MT, Rel. Min. CARLOS ALBERTO MENEZES, DJ 09.12.97, v.u.). "PROCESSUAL CIVIL. COMPETÊNCIA. AÇÃO DE COBRANÇA C/C. PERDAS E DANOS. TRABALHADOR. PRESTAÇÃO DE SERVIÇOS AVULSOS. I - Ação de cobrança proposta pelo autor contra sindicato profissional, objetivando o recebimento de importância devidamente atualizada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Portuário (aposentado) que pretende suspensão de ato impeditivo do órgão gestor de mão-de-obra, de seu ingresso na área portuária. Competência da Justiça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2026-10-16T17:12:15.012Z</dcterms:created>
  <dcterms:modified xsi:type="dcterms:W3CDTF">2026-10-16T17:12:15.012Z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