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r>
        <w:rPr>
          <w:b/>
          <w:bCs/>
          <w:color w:val="F40009"/>
          <w:sz w:val="18"/>
          <w:szCs w:val="18"/>
        </w:rPr>
        <w:t xml:space="preserve">EMFOR · CIVEL</w:t>
      </w:r>
    </w:p>
    <w:p>
      <w:pPr>
        <w:pStyle w:val="Title"/>
      </w:pPr>
      <w:r>
        <w:rPr>
          <w:b/>
          <w:bCs/>
        </w:rPr>
        <w:t xml:space="preserve">PREVIDÊNCIA SOCIAL</w:t>
      </w:r>
    </w:p>
    <w:p>
      <w:r>
        <w:rPr>
          <w:i/>
          <w:iCs/>
          <w:color w:val="666666"/>
        </w:rPr>
        <w:t xml:space="preserve">LEI 8.870 DE 15-04-1994</w:t>
      </w:r>
    </w:p>
    <w:p/>
    <w:p/>
    <w:p>
      <w:r>
        <w:t xml:space="preserve">02. CONSTITUIÇÃO FEDERAL -ARTS. 182 E 183 — REGULAMENTA 
      CAPÍTULO II - DOS INSTRUMENTOS DA POLÍTICA URBANA</w:t>
      </w:r>
    </w:p>
    <w:p/>
    <w:p>
      <w:pPr>
        <w:pStyle w:val="Heading2"/>
      </w:pPr>
      <w:r>
        <w:rPr>
          <w:b/>
          <w:bCs/>
        </w:rPr>
        <w:t xml:space="preserve">Ementa</w:t>
      </w:r>
    </w:p>
    <w:p>
      <w:r>
        <w:t xml:space="preserve">CAPÍTULO II DOS INSTRUMENTOS DA POLÍTICA URBANA Seção I Dos instrumentos em geral Art. 4o Para os fins desta Lei, serão utilizados, entre outros instrumentos: I - planos nacionais, regionais e estaduais de ordenação do território e de desenvolvimento econômico e social; II - planejamento das regiões metropolitanas, aglomerações urbanas e microrregiões; III - planejamento municipal, em especial: a) plano diretor; b) disciplina do parcelamento, do uso e da ocupação do solo; c) zoneamento ambiental; d) plano plurianual; e) diretrizes orçamentárias e orçamento anual; f) gestão orçamentária participativa; g) planos, programas e projetos setoriais; h) planos de desenvolvimento econômico e social; IV - institutos tributários e financeiros: a) imposto sobre a propriedade predial e territorial urbana - IPTU; b) contribuição de melhoria; c) incentivos e benefícios fiscais e financeiros; V - institutos jurídicos e políticos: a) desapropriação; b) servidão administrativa; c) limitações administrativas; d) tombamento de imóveis ou de mobiliário urbano; e) instituição de unidades de conservação; f) instituição de zonas especiais de interesse social; g) concessão de direito real de uso; h) concessão de uso especial para fins de moradia; i) parcelamento, edificação ou utilização compulsórios; j) usucapião especial de imóvel urbano; l) direito de superfície; m) direito de preempção; n) outorga onerosa do direito de construir e de alteração de uso; o) transferência do direito de construir; p) operações urbanas consorciadas; q) regularização fundiária; r) assistência técn ica e jurídica gratuita para as comunidades e grupos sociais menos favorecidos; s) referendo popular e plebiscito; VI - estudo prévio de impacto ambiental (EIA) e estudo prévio de impacto de vizinhança (EIV). § 1o Os instrumentos mencionados neste artigo regem-se pela legislação que lhes é própria, observado o disposto nesta Lei. § 2o Nos casos de programas e projetos habitacionais de interesse social, desenvolvidos por órgãos ou entidades da Administração Pública com atuação específica nessa área, a concessão de direito real de uso de imóveis públicos poderá ser contratada coletivamente. § 3o Os instrumentos previstos neste artigo que demandam dispêndio de recursos por parte do Poder Público municipal devem ser objeto de controle social, garantida a participação de comunidades, movimentos e entidades da sociedade civil. Seção II Do parcelamento, edificação ou utilização compulsórios Art. 5o Lei municipal específica para área incluída no plano diretor poderá determinar o parcelamento, a edificação ou a utilização compulsórios do solo urbano não edificado, subutilizado ou não utilizado, devendo fixar as condições e os prazos para implementação da referida obrigação. § 1o Considera-se subutilizado o imóvel: I - cujo aproveitamento seja inferior ao mínimo definido no plano diretor ou em legislação dele decorrente; II - (VETADO) § 2o O proprietário será notificado pelo Poder Executivo municipal para o cumprimento da obrigação, devendo a notificação ser averbada no cartório de registro de imóveis. § 3o A notificação far-se-á: I - por funcionário do órgão competente do Poder Público municipal, ao proprietário do imóvel ou, no caso de este ser pessoa jurídica, a quem tenha poderes de gerência geral ou administração; II - por edital quando frustrada, por três vezes, a tentativa de notificação na forma p revista pelo inciso I. § 4o Os prazos a que se refere o caput não poderão ser inferiores a: I - um ano, a partir da notificação, para que seja protocolado o projeto no órgão municipal competente; II - dois anos, a partir da aprovação do projeto, para iniciar as obras do empreendimento. § 5o Em empreendimentos de grande porte, em caráter excepcional, a lei municipal específica a que se refere o caput poderá prever a conclusão em etapas, assegurando-se que o projeto aprovado compreenda o empreendimento como um todo. Art. 6o A transmissão do imóvel, por ato inter vivos ou causa mortis, posterior à data da notificação, transfere as obrigações de parcelamento, edificação ou utilização previstas no art. 5o desta Lei, sem interrupção de quaisquer prazos. Seção III Do IPTU progressivo no tempo Art. 7o Em caso de descumprimento das condições e dos prazos previstos na forma do caput do art. 5o desta Lei, ou não sendo cumpridas as etapas previstas no § 5o do art. 5o desta Lei, o Município procederá à aplicação do imposto sobre a propriedade predial e territorial urbana (IPTU) progressivo</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2026-07-28T03:56:11.604Z</dcterms:created>
  <dcterms:modified xsi:type="dcterms:W3CDTF">2026-07-28T03:56:11.604Z</dcterms:modified>
</cp:coreProperties>
</file>

<file path=docProps/custom.xml><?xml version="1.0" encoding="utf-8"?>
<Properties xmlns="http://schemas.openxmlformats.org/officeDocument/2006/custom-properties" xmlns:vt="http://schemas.openxmlformats.org/officeDocument/2006/docPropsVTypes"/>
</file>