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PROCESSO CIVIL</w:t>
      </w:r>
    </w:p>
    <w:p>
      <w:r>
        <w:rPr>
          <w:i/>
          <w:iCs/>
          <w:color w:val="666666"/>
        </w:rPr>
        <w:t xml:space="preserve">LEI 9.245 DE 26-12-1995</w:t>
      </w:r>
    </w:p>
    <w:p/>
    <w:p>
      <w:r>
        <w:rPr>
          <w:b/>
          <w:bCs/>
        </w:rPr>
        <w:t xml:space="preserve">Recurso: </w:t>
      </w:r>
      <w:r>
        <w:t xml:space="preserve">RESP -</w:t>
      </w:r>
    </w:p>
    <w:p/>
    <w:p>
      <w:r>
        <w:t xml:space="preserve">AÇÃO PROPOSTA CONTRA A CEF — LEGITIMIDADE PARA INTEGRAR O PÓLO PASSIVO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Caixa Econômica Federal tem legitimidade passiva para integrar processo em que se discute correção monetária do FGTS. Precedente: IURESP - 77.791 - SC 1995/0055290-6 - DECISÃO: 26-02-1997 DJ de 30-06-1997 - pág. 30.821 Decisão de 24-05-2001 DJ de 22-06-2001 - pág. 163 EMFOR 631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2026-10-26T02:37:25.630Z</dcterms:created>
  <dcterms:modified xsi:type="dcterms:W3CDTF">2026-10-26T02:37:25.630Z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