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MANDADO DE SEGURANÇA C/C LIMINAR</w:t>
      </w:r>
    </w:p>
    <w:p/>
    <w:p/>
    <w:p>
      <w:r>
        <w:t xml:space="preserve">CAPITAIS BRASILEIROS NO EXTERIOR — INFORMAÇÕES - MULTA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2.224, DE 04 DE SETEMBRO DE 2001 Estabelece multa relativa a informações sobre capitais brasileiros no exterior e dá outras providências. O PRESIDENTE DA REPÚBLICA, no uso da atribuição que lhe confere o art. 62, da Constituição, adota a seguinte Medida Provisória, com força de lei: Art. 1o O não-fornecimento de informações regulamentares exigidas pelo Banco Central do Brasil relativas a capitais brasileiros no exterior, bem como a prestação de informações falsas, incompletas, incorretas ou fora dos prazos e das condições previstas na regulamentação em vigor constituem infrações sujeitas à multa de até R$ 250.000,00 (duzentos e cinqüenta mil reais). Parágrafo único. São considerados capitais brasileiros no exterior os valores de qualquer natureza, os ativos em moeda e os bens e direitos detidos fora do território nacional por pessoas físicas ou jurídicas residentes, domiciliadas ou com sede no País, assim conceituadas na legislação tributária. Art. 2o A multa prevista, a ser recolhida ao Banco Central do Brasil, aplica-se às pessoas físicas ou jurídicas residentes, domiciliadas ou com sede no País que detenham, a partir de 5 de setembro de 2001, capitais brasileiros no exterior. Parágrafo único. Aplica-se a multa, inclusive, às situações em que as pessoas referidas no caput não mais detenham posição de capitais brasileiros no exterior na data da requisição ou exigência da informação. Art. 3o O valor máximo da multa prevista no art. 58 da Lei no 4.131, de 3 de setembro de 1962, e no art. 67 da Lei no 9.069, de 29 de junho de 1995, passa a ser de R$ 250.000,00 (duzentos e cinqüenta mil reais). Art. 4o O art. 6o da Lei no 4.131, de 1962, passa a vigorar com a seguinte redação: "Art. 6o .................................................................................. Parágrafo único. O não-fornecimento das informações regulame ntares exigidas, ou a prestação de informações falsas, incompletas, incorretas ou fora dos prazos e das condições previstas na regulamentação em vigor constituem infrações sujeitas à multa prevista no art. 58 desta Lei." (NR) Art. 5o O Conselho Monetário Nacional baixará as normas necessárias ao cumprimento desta Medida Provisória. Art. 6o Esta Medida Provisória entra em vigor na data de sua publicação. Brasília, 4 de setembro de 2001; 180o da Independência e 113o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2026-10-26T03:25:00.704Z</dcterms:created>
  <dcterms:modified xsi:type="dcterms:W3CDTF">2026-10-26T03:25:00.704Z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