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MANDADO DE SEGURANÇA C/C LIMINAR</w:t>
      </w:r>
    </w:p>
    <w:p/>
    <w:p/>
    <w:p>
      <w:r>
        <w:t xml:space="preserve">CAPITAIS BRASILEIROS NO EXTERIOR — INFORMAÇÕES - MULTA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2.224, DE 04 DE SETEMBRO DE 2001 Estabelece multa relativa a informações sobre capitais brasileiros no exterior e dá outras providências. O PRESIDENTE DA REPÚBLICA, no uso da atribuição que lhe confere o art. 62, da Constituição, adota a seguinte Medida Provisória, com força de lei: Art. 1o O não-fornecimento de informações regulamentares exigidas pelo Banco Central do Brasil relativas a capitais brasileiros no exterior, bem como a prestação de informações falsas, incompletas, incorretas ou fora dos prazos e das condições previstas na regulamentação em vigor constituem infrações sujeitas à multa de até R$ 250.000,00 (duzentos e cinqüenta mil reais). Parágrafo único. São considerados capitais brasileiros no exterior os valores de qualquer natureza, os ativos em moeda e os bens e direitos detidos fora do território nacional por pessoas físicas ou jurídicas residentes, domiciliadas ou com sede no País, assim conceituadas na legislação tributária. Art. 2o A multa prevista, a ser recolhida ao Banco Central do Brasil, aplica-se às pessoas físicas ou jurídicas residentes, domiciliadas ou com sede no País que detenham, a partir de 5 de setembro de 2001, capitais brasileiros no exterior. Parágrafo único. Aplica-se a multa, inclusive, às situações em que as pessoas referidas no caput não mais detenham posição de capitais brasileiros no exterior na data da requisição ou exigência da informação. Art. 3o O valor máximo da multa prevista no art. 58 da Lei no 4.131, de 3 de setembro de 1962, e no art. 67 da Lei no 9.069, de 29 de junho de 1995, passa a ser de R$ 250.000,00 (duzentos e cinqüenta mil reais). Art. 4o O art. 6o da Lei no 4.131, de 1962, passa a vigorar com a seguinte redação: "Art. 6o .................................................................................. Parágrafo único. O não-fornecimento das informações regulame ntares exigidas, ou a prestação de informações falsas, incompletas, incorretas ou fora dos prazos e das condições previstas na regulamentação em vigor constituem infrações sujeitas à multa prevista no art. 58 desta Lei." (NR) Art. 5o O Conselho Monetário Nacional baixará as normas necessárias ao cumprimento desta Medida Provisória. Art. 6o Esta Medida Provisória entra em vigor na data de sua publicação. Brasília, 4 de setembro de 2001; 180o da Independência e 113o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2026-07-27T21:27:34.599Z</dcterms:created>
  <dcterms:modified xsi:type="dcterms:W3CDTF">2026-07-27T21:27:34.599Z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