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Mandado de Segurança 351/92</w:t>
      </w:r>
    </w:p>
    <w:p/>
    <w:p>
      <w:r>
        <w:t xml:space="preserve">ATO OMISSIVO — QUANDO NÃO COMEÇA A CORRER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trilhou diferente vereda este Órgão Especial, no julgamento do Mandado de Segurança nº 351/92, de que foi relator o eminente Desembargador GAMA MALCHER. - De resto, tratando-se de Mandado de Segurança contra ato omissivo, o prazo decadencial não flui, a não ser que a lei ou o regulamento fixem o momento fatal para a sua prática, o que não ocorreu na espécie sob exame. - As precedentes considerações tornam desnecessária a incursão do julgador na fascinante, mas tormentosa questão que consiste em saber se a lei ordinária pode fixar termos temporais dentro dos quais os direitos constitucionais, como o de pedir segurança, podem ser exercidos, quando a própria Lei Maior nenhum prazo estabeleceu para o seu exercício, ou o que é dizer o mesmo, de forma mais sintética, se o art. 18 da lei específica que estabelece prazo para impetração de segurança foi, ou não, recepcionado pela Constituição Federal de 1988. Ac. de 01-02-2000 VENCIDA A DESEMBARGADORA ÁUREA PIMENTEL PEREIRA Revista de Direito - TJRJ - Vol. 46 - 2001 - Pág. 110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ou o regulamento não fixaram o momento fatal para a prática do ato, o prazo para impetração de Mandado de Segurança, contra o ato omissivo, não começa a correr.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2026-10-26T03:46:15.723Z</dcterms:created>
  <dcterms:modified xsi:type="dcterms:W3CDTF">2026-10-26T03:46:15.723Z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