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Mandado de Segurança 351/92</w:t>
      </w:r>
    </w:p>
    <w:p/>
    <w:p>
      <w:r>
        <w:t xml:space="preserve">ATO OMISSIVO — QUANDO NÃO COMEÇA A 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trilhou diferente vereda este Órgão Especial, no julgamento do Mandado de Segurança nº 351/92, de que foi relator o eminente Desembargador GAMA MALCHER. - De resto, tratando-se de Mandado de Segurança contra ato omissivo, o prazo decadencial não flui, a não ser que a lei ou o regulamento fixem o momento fatal para a sua prática, o que não ocorreu na espécie sob exame. - As precedentes considerações tornam desnecessária a incursão do julgador na fascinante, mas tormentosa questão que consiste em saber se a lei ordinária pode fixar termos temporais dentro dos quais os direitos constitucionais, como o de pedir segurança, podem ser exercidos, quando a própria Lei Maior nenhum prazo estabeleceu para o seu exercício, ou o que é dizer o mesmo, de forma mais sintética, se o art. 18 da lei específica que estabelece prazo para impetração de segurança foi, ou não, recepcionado pela Constituição Federal de 1988. Ac. de 01-02-2000 VENCIDA A DESEMBARGADORA ÁUREA PIMENTEL PEREIRA Revista de Direito - TJRJ - Vol. 46 - 2001 - Pág. 110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ou o regulamento não fixaram o momento fatal para a prática do ato, o prazo para impetração de Mandado de Segurança, contra o ato omissivo, não começa a correr.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2026-09-10T22:43:16.220Z</dcterms:created>
  <dcterms:modified xsi:type="dcterms:W3CDTF">2026-09-10T22:43:16.220Z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