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/>
    <w:p>
      <w:r>
        <w:t xml:space="preserve">MULTA — EXECUÇÃO - COMPETÊNCIA DO MINISTÉRIO PÚBLICO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recolhimento da multa ao fundo gerido pelo Conselho dos Direitos da Criança e do Adolescente não transforma o Ministério Público, ao executá-la, por determinação legal, em representante judicial de entidade pública. - Assim também não se converte o Ministério Público em representante judicial do Fundo Nacional Antidrogas (FUNAD), para o qual revertem os valores das multas aplicadas por crimes relacionados com entorpecentes, cuja execução lhe incumbe promover, assim como lhe incumbe promover a execução de multas impostas por outros delitos, destinadas ao Fundo Penitenciário. Deve-se assinalar que a Lei nº 9.268, de 1º de abril de 1996, modificando o art. 51 do Código Penal, revogou somente o art. 182 da Lei de Execução Penal (Lei nº 7.210/84), que previa a conversão da pena pecuniária em privativa da liberdade. Manteve-se íntegra a responsabilidade do Ministério Público pela execução das sanções pecuniárias (Lei nº 7.210/84 - art. 162). - A execução das multas constitui, em última análise, a eficácia da tutela legal. É inegável que o Estatuto da Criança e do Adolescente expressamente atribui ao Ministério Público a tutela dos direitos e garantias de que especialmente cuida, incluindo, no art. 201, entre outras, as de "zelar pelo efetivo respeito aos direitos e garantias legais assegurados às crianças e adolescentes, promovendo as medidas judiciais e extrajudiciais cabíveis (inc. VIII) e "representar ao juízo visando à aplicação de penalidades por infrações cometidas contra as normas de proteção à infância e à juventude, sem prejuízo da promoção da responsabilidade civil e penal do infrator, quando cabível" (inc. X). Diante disso não parece aceitável dizer que a concretização da tutela é incompatível com os fins do Ministério Público, ou que ao promover a execução de uma pena estaria o Promotor de Justiça assumindo a representação judicial de entidade pública. - Neste ponto tem inteira procedência a afirmação da Procuradoria Geral da Justiça, em seu parecer, de que "com a infração a preceito a que se comine a pena de multa, surge para o Estado o direito público subjetivo à aplicação da respectiva sanção". - Assinale-se que, além das infrações administrativas, o Estatuto da Criança e do Adolescente define crimes punidos com pena privativa da liberdade e multa, ou somente multa, esta com a mesma destinação de reverter a fundo gerido pelo Conselho dos Direitos da Criança e do Adolescente (art. 214), e seria enormidade dizer que o Ministério Público não pode executar uma sanção penal porque o valor correspondente reverterá em favor gerido por órgão público. Não é possível dissociar da aplicação da pena a execução que a efetiva. - Constitui, portanto, dever do Ministério Público, em harmonia perfeita com suas finalidades institucionais, a de promover a execução de pena correspondente à infração de preceito legal que lhe cabe preservar. Leia-se o que diz o Estatuto: Art. 214. Os valores das multas reverterão ao fundo gerido pelo Conselho dos Direitos da Criança e do Adolescente do respectivo município; § 1º. As multas não recolhidas até trinta dias após o trânsito em julgado da decisão serão exigidas através de execução promovida pelo Ministério Público, nos mesmos autos, facultada igual iniciativa aos demais legitimados. Ac. de 23-03-2000 Revista de Direito - TJRJ - Vol. 46 - 2001 - Pág. 142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legitimação concorrente de terceiros, com a do Ministério Público, excepcional, restringe-se a ações cíveis do art. 201 do ECA, não abrangendo execução de pena administrativa.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2026-06-17T14:20:58.032Z</dcterms:created>
  <dcterms:modified xsi:type="dcterms:W3CDTF">2026-06-17T14:20:58.032Z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