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 130.725-2-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>
      <w:r>
        <w:rPr>
          <w:b/>
          <w:bCs/>
        </w:rPr>
        <w:t xml:space="preserve">Julgado em: </w:t>
      </w:r>
      <w:r>
        <w:t xml:space="preserve">11/09/1995</w:t>
      </w:r>
    </w:p>
    <w:p/>
    <w:p>
      <w:r>
        <w:t xml:space="preserve">REPRESENTAÇÃO DO MINISTÉRIO PÚBLICO — ART. 249 DO ECA - QUANDO CONFIGURA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que a representada protocolou petição (fls.) requerendo que todas as publicações referentes ao presente feito fossem expedidas em nome do advogado Luiz Edmundo Gravatá Maron, o que efetivamente não foi observado pelo Cartório. - Além disso, sequer foi expedido o mandado para a intimação pessoal da representada e para sua testemunha, a qual foi devidamente arrolada, afim de comparecerem ao ato designado. - Consequentemente, por conta dessa indolência cartorária, o patrono, bem como a própria representada e sua testemunha, não se fizeram presentes à AIJ designada, sendo certo que o despacho de fls. foi publicado em nome de outro advogado, diferentemente do que foi pleiteado às fls., como faz prova a cópia anexada às fls.. Destaca-se, que neste sentido, assim esclarece a jurisprudência: "Intimação via imprensa. Pluralidade de advogados. Se não existe requerimento no sentido de as publicações veicularem o nome de determinado advogado, dentre os constituídos, descabe cogitar da pecha de nulidade, quando grafado o nome de qualquer deles". (STF-Pleno, RE 130.725-2-RJ, Rel. Min. MARCO AURÉLIO, j. 02-02-95, maioria, DJU 23-06-95, p. 19.494, 2ª col., em.). - Averbe-se que, a testemunha José B. M. M., apesar de devidamente arrolada na contestação que foi depositada pela defesa em cartório (fls.), não foi intimada a comparecer na A.I.J., mesmo sendo indicada como fundamental para o esclarecimento dos fatos (fls.). - Na mesma peça processual referida, o peticionário requereu novamente a intimação de sua testemunha, o que novamente passou despercebido pelo juízo. - Ademais, o MM. Juiz monocrático sequer mencionou a aus ência da referida testemunha na assentada de fls.. - Ressalte-se que existe precedente desta Corte Judiciária, no sentido de que: "Pátrio poder. Destituição. Cerceamento de defesa. Nulidade. Sentença. Cerceamento do direito de defesa da parte. Configuração. Nulidade. Declaração. É nula, por cerceamento do direito de defesa da parte, a sentença de procedência do pedido inicial, proferida após audiência de instrução e julgamento, a que não estiveram presentes a ré e seu advogado, e que foi realizada sem prévia intimação de testemunhas regularmente arroladas, pela vencida, e sem a dela própria, para prestar depoimento pessoal sob pena de confissão (...)". (Ap. Cível, proc. nº 7.544/94, 4ª Câmara Cível, Des. WILSON MARQUES, votação unânime, julgado em 12-09-1995). - Desta forma, resta sobejamente configurado o alegado cerceamento de defesa, uma vez que é claro o prejuízo causado à defesa da ora apelante. - Face ao exposto, o voto é no sentido do conhecimento do recurso para, acolhendo a preliminar levantada, declarar a nulidade de todos os atos praticados a partir da audiência de instrução e julgamento, inclusive. Ac. de 23-03-2000 Revista de Direito - TJRJ - Vol. 46 - 2001 - Pág. 149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intimação da única testemunha arrolada pela defesa, em representação ofertada pelo Ministério Público pela prática do art. 249 do Estatuto da Criança e do Adolescente, configura cerceamento de defesa.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2026-10-26T07:03:49.915Z</dcterms:created>
  <dcterms:modified xsi:type="dcterms:W3CDTF">2026-10-26T07:03:49.915Z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