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INFRAÇÃO ADMINISTRATIVA</w:t>
      </w:r>
    </w:p>
    <w:p/>
    <w:p/>
    <w:p>
      <w:r>
        <w:t xml:space="preserve">INEXISTÊNCIA — PRESUNÇÃO RELATIVA DE ADIMPLEMENTO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Invoca a apelante a aplicação do art. 944 do Código Civil que dispõe que, sendo a quitação do capital sem reserva dos juros, presumem-se pagos. Regra legal que também figura no art. 252 do Código Comercial. Enquanto que a apelada, em contra-razões, reitera a afirmação de que o valor pago foi insuficiente para saldar a dívida, e que não deu quitação total do débito. - É bem verdade que o pagamento tem escopo exonerar o devedor, desatando o vínculo das relações jurídicas obrigacionais, e que através da quitação o credor desonera o devedor da obrigação que tinha para com ele. - Em comentários ao art. 944 do Código Civil, o eminente CLÓVIS BEVILÁQUA noticia o desencontro doutrinário entre AUBRY et RAU, LAURENT e HUC de um lado, sustentando o caráter absoluto da presunção "juris et de jure" e de outro DURANTON e DUVERGIER, que se inclinaram pela hipótese contrária de presunção "juris tantum" da quitação. Tendo o grande jurista defendido o entendimento de que no nosso direito estaria admitida a prova em contrário da presunção estabelecida na lei (Vo lume IV do Código Civil do EEUU do Brasil, pp. 76 e 77). - Sobre a questão, os doutrinadores pátrios têm, comumente, travado discussões. - Parte da doutrina entende que na quitação sem reservas o devedor fica completamente exonerado de qualquer obrigação para com o credor e assim deve ser para a tranquilidade dos negócios, enquanto que outras correntes asseveram que, por ser relativa a presunção de adimplemento que enseja a quitação, pode ser elidida, através de prova de que o pagamento foi incompleto, ou ainda acerca da invalidade do ato liberatório em virtude de qualquer vicio da vontade. - O caso concreto apresenta algumas peculiaridades, que serão examinadas a seguir. - Inicialmente, cumpre esclarecer que não há nos autos recibo de pagamento, tendo o réu limitado-se em alegar que o recebimento do principal sem ressalvas por parte da autora importou sem quitação ampla e geral, sem contudo impugnar os documentos juntados na inicial. - Na espécie, demonstra-se inaplicável o art. 944 do Código Civil, uma vez que inexiste instrumento escrito de quitação passado pelo credor, quando, então, se poderia afirmar a ausência de menção expressa dos juros. - Desta forma, não está o devedor liberado das demais obrigações contraídas no contrato, em particular dos acréscimos devidos. - Por outro lado, forçoso reconhecer que a exoneração do devedor, só será total e plena se a quitação do pagamento abranger a totalidade da dívida. Isto porque, sem a necessária correspondência entre o pagamento e a quitação, o devedor não se libera por completo do vínculo obrigacional. - O Código Civil Brasileiro estabeleceu mera presunção "juris tantum" de adimplemento, como se verifica, por exemplo, da análise dos arts. 943, 944 e 945. - Neste sentido, traz-se à colação a pertinente lição do mestre CAIO MÁRIO DA SILVA PEREIRA: "Não é sempre que o recibo faz prova da liberação. Constitui em todos os c asos demonstração de que o devedor cumpriu a obrigação mas não é em todos os casos que traduz o reconhecimento, a parte "creditoris", de que a prestação recebida seja efetivamente o cumprimento devido. Embora normalmente o seja, poderá acontecer que as circunstâncias autorizem a reabertura do débito, quando a liberação dependa de uma verificação da "res debita" que feita posteriormente ao recibo demonstra não ter sido entregue". ("Instituição de Direito Civil" - volume II - p. 161 - Editora Forense). - "In casu", não logrou êxito o apelante em comprovar ter pago a diferença que lhe está sendo cobrada, limitando-se a invocar uma presunção absoluta, sem qualquer suporte fático. - Como bem salientou a magistrada singular, como se pode inferir ter a autora dispensado os acessórios referentes a juros e correção monetária, se nem mesmo deu recibo do principal, uma vez que, ao que tudo indica, o pagamento foi efetuado através de depósito bancário diretamente na conta corrente da autora? - No que tange a correção monetária, não se pode perder de perspectiva que, sendo atualização do poder aquisitivo da moeda em face da inflação e não acréscimo do capit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exoneração do devedor só será total e plena se a quitação do pagamento abranger a totalidade da dívida. Isto porque, sem a necessária correspondência entre o pagamento e a quitação o devedor não se libera por completo do vínculo obrigacional. - Não há que se falar na aplicação do art. 944 do Código Civil na espécie, uma vez que o nosso direito admite a prova em contrário da presunção estabelecida na lei. - Por ser relativa a presunção de adimplemento que enseja a quitação, pode ser elidida pelo credor, como ocorreu "in casu", através de prova de que o pagamento realizou-se incompleto. - Não tendo o apelante logrado êxito em comprovar ter pago a diferença que lhe está sendo cobrada, referente a juros e correção monetária, limitando-se a invocar uma presunção absoluta, sem qualquer suporte fático, não há como prosperar o seu apelo.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2026-06-17T14:21:02.149Z</dcterms:created>
  <dcterms:modified xsi:type="dcterms:W3CDTF">2026-06-17T14:21:02.149Z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