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10/12/1980</w:t>
      </w:r>
    </w:p>
    <w:p/>
    <w:p>
      <w:r>
        <w:t xml:space="preserve">LEI QUE O EXTINGUIU — APLICAÇÃO IMEDIATA COM EFEITO RETRO-OPERANTE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embargante que não tendo sido feito o registro decorrente do endosso da nota promissória, objeto da execução, com remição ao registro anterior, nos termos do Dec.-lei nº 427, de 1969, impõe-se decretar a carência da execução. - Deve-se ressaltar, todavia, que com o advento do Dec.-lei nº 1.700, de 1979, extinguiu-se o aludido registro das notas promissórias. - Em consequência, a lei nova autorizando a execução do titulo cambial independentemente de registro, escapa ao vicio de retroatividade, por ser uma lei benéfica. - Por tais razões, é de se confirmar a douta sentença apelada. - Nega-se provimento ao recurso. Julgado em 11-12-1980 Arquivo do Ementário Forense, TA/427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Dec.-lei nº 1.700, de 1979, que extinguiu a obrigatoriedade do registro de notas promissórias, tem aplicação imediata, com efeito retro-operante, por ser uma lei benéfica.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2026-07-28T02:23:31.026Z</dcterms:created>
  <dcterms:modified xsi:type="dcterms:W3CDTF">2026-07-28T02:23:31.026Z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