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MEDIDA CAUTELAR DE ARRESTO</w:t>
      </w:r>
    </w:p>
    <w:p/>
    <w:p>
      <w:r>
        <w:rPr>
          <w:b/>
          <w:bCs/>
        </w:rPr>
        <w:t xml:space="preserve">Julgado em: </w:t>
      </w:r>
      <w:r>
        <w:t xml:space="preserve">10/12/1980</w:t>
      </w:r>
    </w:p>
    <w:p/>
    <w:p>
      <w:r>
        <w:t xml:space="preserve">LEI QUE O EXTINGUIU — APLICAÇÃO IMEDIATA COM EFEITO RETRO-OPERANTE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Alega o embargante que não tendo sido feito o registro decorrente do endosso da nota promissória, objeto da execução, com remição ao registro anterior, nos termos do Dec.-lei nº 427, de 1969, impõe-se decretar a carência da execução. - Deve-se ressaltar, todavia, que com o advento do Dec.-lei nº 1.700, de 1979, extinguiu-se o aludido registro das notas promissórias. - Em consequência, a lei nova autorizando a execução do titulo cambial independentemente de registro, escapa ao vicio de retroatividade, por ser uma lei benéfica. - Por tais razões, é de se confirmar a douta sentença apelada. - Nega-se provimento ao recurso. Julgado em 11-12-1980 Arquivo do Ementário Forense, TA/427 EMFOR 417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Dec.-lei nº 1.700, de 1979, que extinguiu a obrigatoriedade do registro de notas promissórias, tem aplicação imediata, com efeito retro-operante, por ser uma lei benéfica.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2026-10-26T05:56:33.195Z</dcterms:created>
  <dcterms:modified xsi:type="dcterms:W3CDTF">2026-10-26T05:56:33.195Z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