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21/12/1981</w:t>
      </w:r>
    </w:p>
    <w:p/>
    <w:p>
      <w:r>
        <w:t xml:space="preserve">DANOS CAUSADOS — QUANDO OCORRE SOLIDARIEDADE ENTRE O CONDOMÍNIO E O CONDÔMINO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perito (...) esclarece que as infiltrações, a que alude a apelada, provêm do terraço do prédio vizinho, que é parte comum do condomínio (...), mas de uso privativo do apartamento C-02, a quem cabia zelar por ele, sendo certo que a má conservação de sua camada impermeabilizadora, já "de per si" deficiente, deu causa às referidas infiltrações. - A solidariedade entre o condomínio, o espólio do condômino, seus herdeiros e a comunheira, que reside no imóvel, é evidente, na forma do art. 1.518 do Código Civil. Julgado em 22-12-1981 Arquivo do Ementário Forense, TA/420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Danos causados por infiltração originária de partes comuns do edifício, mas de uso privativo de unidade, gera solidariedade entre o condomínio e o condômino.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2026-07-27T23:41:22.586Z</dcterms:created>
  <dcterms:modified xsi:type="dcterms:W3CDTF">2026-07-27T23:41:22.586Z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