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21/12/1981</w:t>
      </w:r>
    </w:p>
    <w:p/>
    <w:p>
      <w:r>
        <w:t xml:space="preserve">DANOS CAUSADOS — QUANDO OCORRE SOLIDARIEDADE ENTRE O CONDOMÍNIO E O CONDÔMINO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perito (...) esclarece que as infiltrações, a que alude a apelada, provêm do terraço do prédio vizinho, que é parte comum do condomínio (...), mas de uso privativo do apartamento C-02, a quem cabia zelar por ele, sendo certo que a má conservação de sua camada impermeabilizadora, já "de per si" deficiente, deu causa às referidas infiltrações. - A solidariedade entre o condomínio, o espólio do condômino, seus herdeiros e a comunheira, que reside no imóvel, é evidente, na forma do art. 1.518 do Código Civil. Julgado em 22-12-1981 Arquivo do Ementário Forense, TA/420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Danos causados por infiltração originária de partes comuns do edifício, mas de uso privativo de unidade, gera solidariedade entre o condomínio e o condômino.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2026-10-26T03:27:49.489Z</dcterms:created>
  <dcterms:modified xsi:type="dcterms:W3CDTF">2026-10-26T03:27:49.489Z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