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Julgado em: </w:t>
      </w:r>
      <w:r>
        <w:t xml:space="preserve">19/04/1982</w:t>
      </w:r>
    </w:p>
    <w:p/>
    <w:p>
      <w:r>
        <w:t xml:space="preserve">SÓCIO — QUANDO É PARTE LEGÍTIMA PARA APELAR</w:t>
      </w:r>
    </w:p>
    <w:p/>
    <w:p>
      <w:pPr>
        <w:pStyle w:val="Heading2"/>
      </w:pPr>
      <w:r>
        <w:rPr>
          <w:b/>
          <w:bCs/>
        </w:rPr>
        <w:t xml:space="preserve">Resumo</w:t>
      </w:r>
    </w:p>
    <w:p>
      <w:r>
        <w:t xml:space="preserve">- ... se o comparecimento do sócio, como gestor de negócio vale para dispensar a nomeação de curador especial à sociedade tida como revel, há de valer, também, como valeu, para a prática dos atos de defesa, inclusive portanto, a de recorrer em nome da expropriada. - Esta solução, passível, talvez, de crítica em seu aspecto técnico, dá a este demorado e tumultuado processo, repleto de impropriedades, um desate prático e justo. Julgado em 20-04-1982 Arquivo do Ementário Forense, TJ/1.121 EMFOR 417 EMENTA: - Residindo o usufrutuário em prédio alheio, tem direito a retomar o de seu gozo e fruição, como se próprio fosse, nada importando que tal situação se concretizasse no fluxo da ação (art. 462, CPC). RESUMO DO ACÓRDÃO: - ... Assim decidem pelas seguintes razões: - A locadora-apelada desquitou-se do marido e o apartamento pertencia ao casal (...). Avençado que o imóvel seria doado aos filhos com reserva do usufruto vitalício em seu favor, a apelada cuidou de alugar o prédio a apelante e o fez como proprietária. Fê-lo, ficou evidenciado, com o assentimento dos nús-proprietários (...). E no curso da ação se formalizou (...). Por isso, correto é o entendimento da sentença no sentido de que nenhum prejuízo resultou à defesa da locatária, que, tendo contratado com a própria comunheira do prédio e que seria a sua usufrutuária vitalícia, deveria saber muito bem com quem estava contratado. - Além disso, nada importa que tal situação ficasse definida no curso da demanda, face ao disposto no art. 462 do CPC. E nesse ponto é a própria apelante quem traz subsídios contra si mesmo (...): "Nas ações de despejo tem tido larga aplicação o princípio de "jus superveniens", de molde a permitir a apreciação não só de fatos constitutivos, como de direitos nascidos durante o curso da demanda". - Ora, se a autora-apelada como comunheira do marido de quem veio a desquitar-se já tinha direito à retomada, mesmo sem efetivar-se nos registros sua nova posição de usufrutuária, irrefragável tornou-se seu direito à retomada nesta última situação. Aí a sinceridade é presumida e não foi sequer arranhada por prova contrária. Julgado em 10-02-1982 Arquivo do Ementário Forense, TA/422 EMFOR 417</w:t>
      </w:r>
    </w:p>
    <w:p/>
    <w:p>
      <w:pPr>
        <w:pStyle w:val="Heading2"/>
      </w:pPr>
      <w:r>
        <w:rPr>
          <w:b/>
          <w:bCs/>
        </w:rPr>
        <w:t xml:space="preserve">Ementa</w:t>
      </w:r>
    </w:p>
    <w:p>
      <w:r>
        <w:t xml:space="preserve">Em ação de desapropriação proposta contra sociedade tida como revel, tem o sócio legitimidade para apelar em nome da expropriada, se foi admitido no processo como gestor de negócios, nos termos do art. 52 do Código de Processo Civil.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2026-07-28T02:18:04.911Z</dcterms:created>
  <dcterms:modified xsi:type="dcterms:W3CDTF">2026-07-28T02:18:04.911Z</dcterms:modified>
</cp:coreProperties>
</file>

<file path=docProps/custom.xml><?xml version="1.0" encoding="utf-8"?>
<Properties xmlns="http://schemas.openxmlformats.org/officeDocument/2006/custom-properties" xmlns:vt="http://schemas.openxmlformats.org/officeDocument/2006/docPropsVTypes"/>
</file>