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Apelação 232.507</w:t>
      </w:r>
    </w:p>
    <w:p>
      <w:r>
        <w:rPr>
          <w:b/>
          <w:bCs/>
        </w:rPr>
        <w:t xml:space="preserve">Julgado em: </w:t>
      </w:r>
      <w:r>
        <w:t xml:space="preserve">21/09/1981</w:t>
      </w:r>
    </w:p>
    <w:p/>
    <w:p>
      <w:r>
        <w:t xml:space="preserve">FALTA DE ENTREGA DAS CAMBIAIS À INSTITUIÇÃO FINANCEIRA — EFEITOS DESSA INADIMPLÊNCIA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preenchido e assinado o contrato de câmbio, a operação de câmbio é considerada contratação firme e irretratável e aos bancos é reservado o direito de cobrar diferença de taxa e bonificação de cancelamento, como assinalou a 2ª Câmara do Primeiro Tribunal de Alçada Civil de São Paulo, na Apelação nº 232.507, com apoio em VICTOR A. ZERBINI (Câmbio e Comércio Exterior - Editora Resenha Universitária - 1975, p. 23). - Preenchido e assinado o contrato de câmbio, a operação de câmbio se perfez, com o consentimento. Inadimplente o exportador tem o Banco comprador do câmbio, o direito de protestar o contrato no oficial competente, para requerer a ação executiva. - É o que dispõe, expressamente, o art. 75, da Lei nº 4.728/65. - Não era, pois, possível ao acórdão negar ao Banco o direito que a lei declaradamente lhe concede, de protestar o contrato de câmbio para promover a ação executiva que lhe compete. - Lembro que esta Turma no RE nº 89.825 - SP, julgou: "Protesto cambial. Pedido de sustação sem depósito prévio de seus valores. Inadmissibilidade. Recurso extraordinário conhecido e provido para deferir a medida de segurança impetrada contra o ato do juiz, que determinou a suspensão do protesto, em virtude de não ter efeito suspensivo o recurso cabível." (RTJ 92/851). - É o meu voto. Julgado em 22-09-1981 Revista Trimestral de Jurisprudência. Março, 1982 - Vol. 99 - Pág. 1.238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exportador nacional, ao termo do contrato de câmbio, não entrega à instituição financeira, as cambiais, haverá inadimplência do vendedor, operando, em tais circunstâncias, em prol da instituição financeira, o pedido de diferença da taxa na forma do art. 75 e seu § 1º da Lei nº 4.728/65.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2026-10-26T03:53:56.966Z</dcterms:created>
  <dcterms:modified xsi:type="dcterms:W3CDTF">2026-10-26T03:53:56.966Z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