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apelação. .</w:t>
      </w:r>
    </w:p>
    <w:p>
      <w:r>
        <w:rPr>
          <w:b/>
          <w:bCs/>
        </w:rPr>
        <w:t xml:space="preserve">Julgado em: </w:t>
      </w:r>
      <w:r>
        <w:t xml:space="preserve">29/06/1981</w:t>
      </w:r>
    </w:p>
    <w:p/>
    <w:p>
      <w:r>
        <w:t xml:space="preserve">TRANSAÇÃO JUDICIAL — DESCUMPRIMENTO - QUANDO AUTORIZA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RUBENS REQUIÃO, apoiado em MIRANDA VALVERDE, depois de referir-se à expressão "líquida e certa", para esclarecer que o termo "certa" não aumenta nem diminui o conceito de obrigação líquida aduz de forma definitiva que para que a ela (obrigação) seja líquida é preciso que seja certa, isto é, existente ("Curso de Direito Falimentar", nº 45). Acrescenta que "a obrigação certa pode ser líquida ou ilíquida". - Considera-se líquida a obrigação certa, quanto à sua existência e determinada quanto a seu objeto. - E a lei falimentar reforçou a expressão "obrigação líquida", ajuntando o complemento "constante de título que legitime a ação executiva". Assim; a obrigação líquida deve corresponder à sua executividade ou, na linguagem do novo Código de Processo Civil, ter um título "executivo". - No caso concreto, além do titulo, ..., formalmente perfeito e hábil à propositura da ação executiva, existe a transação homologada, que lhe redobrou a força executiva. - Dir-se-á, como transparece da sentença apelada, que a transação ensejou urna condição. E que não haveria prova de que a transação veio a frustrar-se por culpa da ré, pois outros motivos poderiam ter concorrido. Assim, existiria uma condição resolutiva. - Ocorre, porém, que além da comprometedora manobra da S., para se furtar à citação,... sendo certo que o próprio Magistrado já registrara o propósito procrastinatório da devedora... - a defesa, preliminar desta última não desfigurou a liquide z e certeza do título, demonstrando vistosamente, como seria de seu dever, a ausência de culpa, preferindo ressuscitar matéria que se tornara preclusa, exatamente em virtude de transação homologada. - ....................................................................... - Nem me impressiona a existência do prazo de sessenta dias, consignado no termo (petição) de acordo, dentro do qual a obrigação seria suspensa, o que poderia sugerir a necessidade de urna interpelação (art. 124, CC). - É que o acordo fora homologado em 26 de junho de 1979 (...) e a renovação do pedido de falência somente foi feita em 12 de setembro do mesmo ano, conforme despacho proferido na inicial. - E o acordo, no que tange ao prazo, não continha qualquer restrição à natureza, existência e liquidez da obrigação. Expirado o prazo, obviamente, remanescia a dívida com todas as suas consequências jurídicas. - Diante do exposto, dou provimento à apelação... Julgado em 30-06-1981 Jurisprudência Mineira. Vol. 83. Julho a Setembro de 1981 - Ano 32 - Pág. 53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lei falimentar, considera-se falido o comerciante que, sem relevante razão de direito, não paga, no vencimento, obrigação líquida constante de título que legitima execução forçada. - E como tal, deve ser considerada a ação culminada com transação judicial, cujo descumprimento aumenta ainda mais a força de execução do título objeto da mesma transação, tornando obrigatória a decretação da falência em tal conjuntura.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2026-10-26T03:49:00.259Z</dcterms:created>
  <dcterms:modified xsi:type="dcterms:W3CDTF">2026-10-26T03:49:00.259Z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