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 64.911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29/04/1981</w:t>
      </w:r>
    </w:p>
    <w:p/>
    <w:p>
      <w:r>
        <w:t xml:space="preserve">ATO LEVADO A EFEITO NO REGISTRO CIVIL — QUANDO SE CONSIDERA 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menores, registrados e reconhecidos pelo próprio pai, são filhos adulterinos e, daí, o apego dos embargantes ao art. 358, do CC, que diz que "os filhos incestuosos e os adulterinos não podem ser reconhecidos". - A matéria é controvertida, mas vai-se firmando jurisprudência no sentido da validade do reconhecimento antecipado do filho adulterino, quando não anulado em vida do autor do reconhecimento. - Com efeito, a irregularidade do reconhecimento, por homem casado, de filho adulterino, mediante declaração no assento de nascimento deste, não autoriza a decretação de nulidade desse assento, dv, após o falecimento do declarante. - Diante da legislação em vigor, a nulidade do reconhecimento só se justificaria se provada plenamente sua falsidade em ação negatória de paternidade. - É verdade que há julgados segundo os quais é nulo o reconhecimento do filho adulterino na constância do casamento ("RT" vols. 516/213, 522/214 e 530/184), e como tal se torna insanável com a morte do declarante. Todavia, porém, mais compreensível e aceitável é a tese esposada pela douta maioria de que o reconhecimento, por homem casado, de filho adulterino, mediante declaração no assento de nascimento não autoriza a decretação da nulidade do registro, após o falecimento do declarante. - No caso dos autos, o reconhecimento, é verdade, não ocorreu após a dissolução do casamento, mas a sua validade só foi contestada após o óbito do pai, quando não mais poderia ocorrer afronta ao decoro nupcial. - O reconhecimento acima não deve ser havido como nulo, mas apenas ineficaz durante a constância do casamento. - A hipótese assemelha-se ao reconhecimento por testamento, que somente adquire eficácia com a morte do testador. O testamento seria válido, embor a a sua eficácia só surgisse após a morte do testador. - A semelhante que guarda similitude com a destes autos vem decidindo o STF: "No caso dos autos, o pai, embora irregularmente, registrou o filho havido de suas relações extramatrimoniais. Como acentua o despacho agravado, não caberia a esse filho propor, agora, uma investigação de paternidade. Aos que contestassem essa filiação é que caberia promover a anulação do registro de nascimento. Na verdade, os agravantes não contestam a validade de tal registro" ("RTJ", 32/458). - No mesmo sentido pode ser invocado o RE 64.911, onde se lê a seguinte ementa: "Filho adulterino. Registro Civil feito pelo pai. Esse ato de reconhecimento feito na vigência da Lei 883/49, produz efeitos após a morte do declarante" ("RTJ", 48/694). No mesmo sentido é o acórdão proferido no RE nº 78.165, onde destaco: "Realmente, o melhor entendimento é o dos acórdãos confrontados, no sentido de que embora feito irregularmente o registro, produz o mesmo efeito após a morte do declarante, ficando o filho desobrigado a propor ação de reconhecimento de paternidade" (in "RTJ", vol. 71/557). E, ainda, no RE 75.211 (in "RTJ", vol. 65/835-837). - Na mesma esteira vem-se orientando a jurisprudência dos Tribunais, no sentido de declarar a inexistência de nulidade, sobreestada apenas sua eficácia enquanto perdurar o casamento (Cf. "RT", vols. 509/244, 510/124, 524/217, 525/224, 533/92, 534/11 e 538/74. - Deve o juiz perscrutar as necessidades naturais da existência humana, da realidade social em face da existência legal. Aliás conforme preleciona o Eminente Magistrado e civilista espanhol - JOSÉ CONSTAN TOBENAS - "la indagacion del sentido literal, no debe agotar nunca la actividad hermeneutica" (cit. "RT", 235/44). Aliás, a luta pelo direito, que é eterna, assume hoje o aspecto de luta entre a jurisprudência sociológica e o dogmatismo autoritário e literalista, o da palavra ("Wortkultus") (Julius Kraft, in "Rechtssocielogia - Handwoirtercuch der Sociologia", Stuttgar, 1931, Lombart, Tonnies e outros). - Ao método tradicional se opõe o "realismo jurídico", que constitui reação contra o abuso do intelectualismo e de processos lógicos de interpretação; opõe-se "dinamismo da vida" ao imobilismo da lei (Du Pasquier, "Introduction à la Theorie Generale et à la Philosophie su Droit", Neuchatel, 1948, 3ª ed., nº 205). - A lógica se deve opor a vida real. Daí precisar ser o Juiz "um sociólogo e até um moralista em exercício" (Maximiliano, "Hermenêutica", nº 65). - Pondere-se, em remate, que a orientação aqui adotada não decorre de uma atitude de benevolência ou caridade, tomada a expressão no sentido tradicional e burguês. É que, para a tradição cristã, que deve ser levada em conta na interpre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válido o reconhecimento antecipado de filho adulterino, desde que não anulado o registro, em vida do perfilhador.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2026-10-26T02:45:12.384Z</dcterms:created>
  <dcterms:modified xsi:type="dcterms:W3CDTF">2026-10-26T02:45:12.384Z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