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Julgado em: </w:t>
      </w:r>
      <w:r>
        <w:t xml:space="preserve">08/09/1982</w:t>
      </w:r>
    </w:p>
    <w:p/>
    <w:p>
      <w:r>
        <w:t xml:space="preserve">AÇÃO ORDINÁRIA — ADOTADO MENOR - PROPOSITURA CONTRA OS PAIS NATURAIS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 assim decidem, integrando neste o relatório..., porque, inegavelmente, com a adoção, extinguem-se os vínculos jurídicos entre adotado e seus pais naturais, salvo no que concerne o impedimento matrimonial, passando a exercer o adotante, o pátrio poder, consequentemente tendo a representação do adotado. Sendo assim, em se tratando de dissolução de adoção, sem ser por consenso, mas a prevista no art. 374, II, do Código Civil, que exige ação ordinária, e sendo de menoridade o adotado, como é o caso dos autos, o adotante só tem um caminho para ajuizá-la: propô-la contra os pais naturais, como fez a autora, por ter ela, autora, por força da adoção, que pretende extinguir a representação judicial da adotada. Esse é o único caminho que tem para provocar o Judiciário, ou seja, para obter sentença. Como o réu escolhido pelo autor - os pais naturais - não tem, de certa forma, legitimidade passiva "ad causam", por detê-la o adotante, ou seja, o próprio autor, e como há conflito de interesses entre os do adotante (autor) e os do incapaz, não havendo outra solução e imperando, nesse caso, o interesse do menor, a ação não deve ser trancada, com a extinção do processo, sem julgamento do mérito, por ilegitimidade de parte, como "data venia" fez a sentença, pois deve prosseguir com a nomeação de curador especial (art. 9º, I, do C.P.C.), por colisão dos interesses do adotado com os do adotante, prosseguindo-se no feito, contra o adotado, representado ou assistido, conforme o caso, pelo curador especial. Por outro lado, não extinguindo com a adoção os direitos e deveres resulta ntes do parentesco natural (art. 378 do Código Civil), exceto o pátrio poder, não se pode dizer faltar de forma genérica legitimidade passiva "ad causam" aos pais naturais. Por isso, é dado provimento parcial ao recurso para que, nomeado curador especial para o incapaz, que deve assisti-lo por se tratar de menor púbere, se prossiga no feito, contra o adotado, assistido por curador especial, a ser nomeado pelo juiz, e contra os seus pais naturais (art. 378 do Código Civil), que, assim não são excluídos do feito. Arquivo do Ementário Forense, TJ/1.128 Julgado em 09-09-1982 EMFOR 418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dissolução de adoção, sem ser por consenso, mas a prevista no art. 374, II, do Código Civil, que exige ação ordinária, e sendo de menoridade o adotado, o adotante só tem um caminho para ajuizá-la: propô-la contra os pais naturais, por força da adoção, que pretende extinguir, a representação judicial da adotada.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2026-07-28T04:23:32.936Z</dcterms:created>
  <dcterms:modified xsi:type="dcterms:W3CDTF">2026-07-28T04:23:32.936Z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