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BRASILEIRO DE AERONÁUTICA</w:t>
      </w:r>
    </w:p>
    <w:p>
      <w:r>
        <w:rPr>
          <w:i/>
          <w:iCs/>
          <w:color w:val="666666"/>
        </w:rPr>
        <w:t xml:space="preserve">LEI 7.565 DE 19-12-1986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FATO NÃO IMPUTÁVEL À PARTE — PRESCRIÇÃO REPELIDA.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Ação rescisória foi ajuizada muito antes do término do biênio decadencial, como reconhece inclusive o contestante. A demora na citação por motivos inerentes ao mecanismo da Justiça, se para isso não concorreu o autor, não pode resultar em seu prejuízo (Súmula nº 78 (*), do TFR). Ac. de 28-05-1991 Rev. do Sup. Tribunal de Justiça - Agosto de 1991 - Nº 24 - Pág. 37. (*) "Proposta a ação no prazo fixado para o seu exercício, a demora na citação, por motivos inerentes ao mecanismo na justiça, não justifica o acolhimento, da arguição de prescrição". ("EMFOR", Nº 406). EMFOR 531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demora na citação, por motivos inerentes ao mecanismo da Justiça, se para isso não concorreu o autor, não pode resultar em seu prejuízo.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2026-10-26T03:43:13.670Z</dcterms:created>
  <dcterms:modified xsi:type="dcterms:W3CDTF">2026-10-26T03:43:13.670Z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