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06/04/1983</w:t>
      </w:r>
    </w:p>
    <w:p/>
    <w:p>
      <w:r>
        <w:t xml:space="preserve">PRAZO DE CINCO ANOS — CONTAGEM A PARTIR DA ABERTURA DA SUCESSÃO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preliminar levantada é o próprio mérito. Trata-se de um dos argumentos a ele pertinente. Nela é suscitada a tese de que o Recorrente faria jus à linha telefônica que outrora pertencera a um seu tio, em virtude de não haver ocorrido a declaração de vacância, prevista no art. 1.593, do Cód. Civil, e que, sobre os dizeres do Estatuto Civil, não poderia preponderar o Decreto 1.027, de 18-05-62, invocado pela Apelada. - O referido art. 1.593, do Código Civil, deve ser examinado à vista do que se lhe segue, a saber, o art. 1.594. que dispõe não prejudicar a declaração de vacância os direitos dos herdeiros, que legalmente se habilitarem, mas que decorridos 5 anos da abertura da sucessão os bens passarão ao domínio do Estado, em cuja circunscrição era domiciliado o "de cujus". - Ora, a abertura da sucessão é o efeito instantâneo da morte - art. 1.572, do Cód. Civil. - Daí, concluir-se que transcorrido - como está - aquele quinquênio não tem o Apelante direito, em relação ao que pleiteia. - Ante essa circunstância, a análise do Decreto 1.027, de 18-05-62 no qual se baseou a Apelada para proceder à transferência, em face do Código Civil, torna-se desnecessária, ela poderia ser utilizado, em face de transcorrido o referido prazo de 5 anos. Julgado em 07-04-1983 Arquivo do Ementário Forense, TJ/1.132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Decorridos cinco anos da abertura da sucessão, que se dá no instante do falecimento, os bens do morto passam para o domínio do Estado, onde se encontrava domiciliado, quando da morte.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2026-10-26T02:39:19.129Z</dcterms:created>
  <dcterms:modified xsi:type="dcterms:W3CDTF">2026-10-26T02:39:19.129Z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