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12/03/1981</w:t>
      </w:r>
    </w:p>
    <w:p/>
    <w:p>
      <w:r>
        <w:t xml:space="preserve">PAGAMENTO DO DÉBITO NO ATO DA CITAÇÃO — QUANDO NÃO FICA SUJEITO À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Prevaleceu na decisão recorrida o entendimento segundo o qual o devedor que efetua o pagamento do débito no ato de citação, para instauração do processo de falência, não fica sujeito a honorários de advogado. Isso porque o pagamento afasta a afirmação de que o devedor se acha insolvente, excluindo, via de consequência, a sucumbência. Outrossim, se inexiste razão para a condenação em honorários, depois de decretada a falência, com maior razão se a quebra não ocorre. - O recorrente indica acórdão do E. Tribunal de Justiça de São Paulo, com o entendimento de que o devedor que faz depósito para elidir decretação de falência está obrigado às custas e aos honorários de advogado. - A meu ver, a melhor interpretação está com a decisão recorrida. A Lei de Falência, onde se inserem normas especificas, afasta o principio genérico da sucumbência, previsto no sistema processual comum (art. 20 do CPC). Daí, as regras dos arts. 23 parág. único, inc. II e 208 § 2º, do Dec.-lei 7.661/45, que afastam o regime de sucumbência. - Dispõem os citados preceitos: "Art. 23 - "Omissis"... Parágrafo único - Não podem ser reclamados na falência: .................................... II - As despesas que os credores individualmente fizerem para tomar parte na falência, salvo custas judiciais em litígio com a massa. § 2º - A massa não pagará custas a advogados dos credores e dos falidos." - Vale ponderar que decretada a falência, "o credor pode declarar o seu crédito, inclusive de custas, se em ação anterior contra o falido, foi este condenado ao seu pagamento" ("Processo de Falência e Concordata", Vol. II, pág. 423, ed. 1970, JOSÉ DA SILVA PACHECO). - Nessa diretriz é a decisão proferida no RE 87.725, relatado pelo S r. Min. MOREIRA ALVES, perante esta Turma, e que guarda a seguinte ementa: "Falência. Principio da sucumbência. Não se tratando de Instituto corno os embargos de terceiro ou o pedido de restituição, o sistema da lei especial que disciplina a falência é contrário ao regime da sucumbência (arts. 23, parág. único, II e 208, § 2º do Dec.-lei 7.661/45). Este entendimento prevalece em face do atual CPC, até porque, com relação a ele, nada foi alterado pela adaptação da Lei de Falência do novo sistema processual feito pelo art. 5º da Lei 6.014/73. Recurso Extraordinário conhecido e provido". (RTJ 84/693). - Em seu voto, o eminente relator se reporta a precedentes de ambas as Turmas. - Ante o exposto, conheço do recurso, mas lhe nego provimento. Julgado em 13-03-1981 Revista Trimestral de Jurisprudência. Outubro, 1982. Vol. 102 - Pág. 292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devedor que efetua o pagamento do débito no ato de citação, para instauração do processo de falência, não fica sujeito a honorários de advogado.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2026-10-26T04:54:38.917Z</dcterms:created>
  <dcterms:modified xsi:type="dcterms:W3CDTF">2026-10-26T04:54:38.917Z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