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Julgado em: </w:t>
      </w:r>
      <w:r>
        <w:t xml:space="preserve">10/06/1981</w:t>
      </w:r>
    </w:p>
    <w:p/>
    <w:p>
      <w:r>
        <w:t xml:space="preserve">FRETE E SEGURO POR CONTA DO COMPRADOR — COMO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preceito do duplo grau de jurisdição, conheço da remessa e, examinando a ação executiva fiscal, movida pela Fazenda Pública do Estado do Minas Gerais contra D.B. Ltda., confirmo a resp. sentença que, bem apreciando os fatos, considerou o caso como de venda "FOB", entregue a mercadoria a bordo, ao transporte, correndo à conta do comprador as despesas de frete e seguro, o que torna não incidente o ICM sobre esses itens, cobrável o imposto do vendedor. Incluindo ele frete e seguro no preço, caberá ao vendedor o imposto reclamado. - Nego provimento ao recurso, mantendo a sentença de primeiro grau. Julgado em 11-06-1981 Jurisprudência Mineira. Abril a Junho de 1981. Vol. 82 - Pág. 152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venda FOB, com despesas de frete e seguro por conta do comprador, não há incidência do ICM que, posteriormente, com o aumento do custo da mercadoria, pela inclusão do valor do frete, será cobrado do vendedor.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2026-07-28T00:30:19.809Z</dcterms:created>
  <dcterms:modified xsi:type="dcterms:W3CDTF">2026-07-28T00:30:19.809Z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