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17/10/1982</w:t>
      </w:r>
    </w:p>
    <w:p/>
    <w:p>
      <w:r>
        <w:t xml:space="preserve">CITAÇÃO PESSOAL DAQUELE EM CUJO NOME ESTÁ TRANSCRITO O IMÓVEL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Aquele em cujo nome está transcrito o imóvel é interessado certo e, como tal é de ser obrigatoriamente citado pessoalmente, nos precisos termos do inciso II, do art. 942 do CPC. - ADROALDO FURTADO FABRICIO, ao comentar o dispositivo da lei processual assinala: "Pessoal está aí por nominal: pode-se inclusive aproveitar, para a citação de réu certo, o mesmo edital expedido para a citação dos interessados, incertos (é até recomendável essa prática, a bem da economia); o que não se pode fazer é confundir na "vala comum" dos réus não identificados, cuja própria existência é apenas uma hipótese, aqueles cuja identidade é conhecida. Estes hão de ser individualmente referidos, quando tal seja o caso, no edital, com os dados identificativos de praxe." ("Comentários ao Código de Processo Civil", VIII Vol. tomo III, pág. 672, ed. Forense, 1980). - Neste Tribunal, a ensejo do julgamento da Ação Rescisória nº 1.137 de que foi Relator o eminente Des. GARCEZ NETO, por votação unânime, a Eg. 7ª Câmara Cível proclamou a nulidade de ação de usucapião, na falta de citação pessoal dos interessados certos. É a seguinte a ementa do ven. Acórdão: "Usucapião. Falta de citação pessoal dos interessados certos. Nulidade do processo. - É nula "ab initio", e insanavelmente nula, a ação de usucapião em que se preteriu a citação inicial e pessoal dos interessados certos, em cujo nome se encontrava transcrito o imóvel". (Rev. de Jurisprudência, vol. 29, pág. 54). - E ainda no julgamento da Ação Rescisória nº 1.300, pela Eg. 3ª Câmara Cível, Relator o eminente Des. PAULO ALONSO, também em votação unânime, ficou dito: "Ação de usucapião. Nulidade pela falta de citação dos legítimos proprietários do imóvel". (Rev. de Jurisprudência, vol. 33, pág. 39). - De se notar que aplica-se a regra tanto ao caso de usucapião ordinário como extraordinário. - Inexiste, "data venia", motivo para a dicotomia feita no voto vencido, eis que o principio jurídico tem aplicação tanto em uma como em outra espécie. A lei, com efeito, não adota a interpretação apontada pelo voto vencido ao explicar que se o usucapião fosse ordinário "a citação do proprietário anterior seria de comezinha prudência e importância", enquanto que no usucapião extraordinário representaria "uma simples formalidade burocrática". - É bem de ver que, tanto em um como em outro caso, trata-se de inafastável disposição de lei. - Mesmo porque, como diz LIEBMAN, a falta de citação "infringe de tal modo os supremos princípios do processo, ofende tão profundamente o direito reconhecido a todo cidadão de defender-se perante o Juiz que vai julgá-lo, que torna radicalmente nulo, juridicamente inexistente o processo, igualmente inexistente a sentença proferida". - Acrescente-se, com o parecer do douto procurador Dr. EVERARDO MOREIRA LIMA, que o reconhecimento do usucapião de que se trata foi açodadamente feito porquanto o depoimento da testemunha A.B.S.P., que há vinte anos conhecia o autor, ora Embargante, e há dezessete residia no local, esclareceu que apenas há "um ano e pouco" vinha o autor cuidando do terreno e plantando nele. - Nessas condições, bem andou a ilustrada maioria ao prover a ação rescisória, com fundamento no inciso V (violação de literal disposição de lei) do art. 485 do CPC. - No julgado rescindendo violado ficara com efeito, o art. 942, II, do CPC, sendo em consequência, nulo o processo, como afirmado no ven. acórdão embargado. - Isto posto, rejeitam-se os embargos. Julgado em 18-10-1982 Arquivo do Ementário Forense, TJ/1.134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citação inicial daquele em cujo nome se encontra transcrito o imóvel usucapiendo, importa em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2026-10-26T04:39:41.173Z</dcterms:created>
  <dcterms:modified xsi:type="dcterms:W3CDTF">2026-10-26T04:39:41.173Z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