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LEI 6.385 DE 07-12-1976</w:t>
      </w:r>
    </w:p>
    <w:p/>
    <w:p>
      <w:r>
        <w:rPr>
          <w:b/>
          <w:bCs/>
        </w:rPr>
        <w:t xml:space="preserve">Recurso: </w:t>
      </w:r>
      <w:r>
        <w:t xml:space="preserve">re 1982</w:t>
      </w:r>
    </w:p>
    <w:p>
      <w:r>
        <w:rPr>
          <w:b/>
          <w:bCs/>
        </w:rPr>
        <w:t xml:space="preserve">Relator: </w:t>
      </w:r>
      <w:r>
        <w:t xml:space="preserve">CÉSAR ROCHA</w:t>
      </w:r>
    </w:p>
    <w:p/>
    <w:p>
      <w:r>
        <w:t xml:space="preserve">SE EM RELAÇÃO A ELE FLUI O PRAZO QUINQUENAL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 - Sustenta o recorrente, em síntese, negativa de vigência ao art. 174 do CTN, bem como dissídio jurisprudencial, ao argumento de ser nula a penhora, por falta de citação, além da ocorrência de prescrição do crédito tributário. DO VOTO - Para melhor compreensão da controvérsia, assinale-se que, em 1978 e 1979, diversas execuções fiscais foram ajuizadas, buscando o pagamento de créditos de ICM. - Determinadas as citações, em 12 de setembro de 1979 - foi celebrado acordo para parcelamento do débito, figurando o aqui embargante, Espólio de Tore A. M., pelo "de cujus", na condição de fiador solidário. - Como a devedora principal, depois de pagar cerca da metade das sessenta prestações ajustadas, deixou de pagar o restante das parcelas, a Fazenda credora requereu o prosseguimento das execuções contra o fiador, tendo sido efetuada a penhora no rosto dos autos do inventário. - Surge, então, a defesa pelos embargos do devedor, sustentando: a constrição, eivada de ilegalidade, não pode prevalecer, pois a garantia prestada não previa nem autorizava a exigibilidade nos próprios autos, reclamando a via processual adequada; não foi o embargante devidamente citado para a execução; acham-se prescritos os débitos em relação ao embargante, face ao decurso de mais de oito anos entre a denúncia do parcelamento e o requerimento da execução; a suspensão da execução contra uma das partes não produz efeitos quanto à outra. - Rejeitados os embargos, com a decisão mantida pela Sétima Câmara Cíve l de Férias do Tribunal de Justiça, insiste o recurso especial em dois argumentos principais: a inviabilidade da penhora dos seus bens, ausente a prévia citação, e a ocorrência da prescrição prevista no art. 174 do Código Tributário Nacional. É que, segundo o acórdão, a prescrição fora interrompida com o despacho que ordenou a citação e o processo não ficara paralisado entre 1982 e 1990, como alegado. Entretanto, retruca a recorrente, passaram-se dez anos entre a possibilidade do exercício do direito de ação contra o recorrente e o efetivo exercício, daí a afronta ao art. 174 do CTN. Trazendo ainda acórdãos tidos como divergentes, o pedido é para que, reconhecida a prescrição do direito de ação da exeqüente, seja levantada a penhora e extinta a execução, com inversão do ônus da sucumbência. - ....................................................................... - Pela divergência, os julgados trazidos não se prestam à tese defendida, "porque a matéria neles ventilada diz respeito à verificação da ocorrência ou não da prescrição do direito de ação da Fazenda do Estado contra os sócios da sociedade comercial executada. Aquela responsabilidade discutida é a subsidiária e não a principal e solidária, como no caso destes autos" (Parecer do Dr. MIGUEL GUSKOW, pelo MPF). - Mas, a violação ao art. 174, inc. I, do Código Tributário Nacional, é inafastável. - Nesse passo, a sentença e o acórdão que a confirmou partiram do princípio de que "a prescrição interrompeu-se com o despacho que determinou a citação pessoal (art. 8º, § 2º, da Lei n. 6.830/80", pelo que, não se consumando em relação à executada, segue a obrigação acessória o destino da principal. - Não prevalece, contudo, a conclusão, por dois motivos: a) Todas as execuções foram propostas antes da vigência da Lei n. 6.830/80 (em 1978 e 1979), sendo também antes daquela lei determinadas as citações. Consoante decisão recente desta Turma "A citação ordenada, nos au tos de execução fiscal, antes da publicação da Lei n. 6.830/80", não se aplica o respectivo art. 8º, § 2º; a espécie é disciplinada pelo art. 219 e parágrafos do Código de Processo Civil, não tendo efeito interruptivo da prescrição a ordem de citação que deixa de se consumar nos prazos aí previstos" (Min. ARI PARGENDLER, REsp n. 72.529/ES, DJ de 16.09.96). b) Embora sabidamente controvertida a questão, a Egrégia Primeira Seção, julgando embargos de divergência, tomou posição no sentido de que "Em sede de execução fiscal, a mera prolação do despacho que ordena a citação do executado não produz, por si só, o efeito de interromper a prescrição, impondo-se a interpretação sistemática do art. 8º, § 2º, da Lei n. 6.830/80, em combinação com o art. 219, § 4º, do Código de Processo Civil e com o art. 174 e seu parágrafo único do Código Tributário Nacional. - Embargos rejeitados (Rel. Min. CÉSAR ROCHA, citado pelo Min. MILTON LUIZ PEREIRA, no REsp n. 81.832/RS, em 21.10.96). - Dent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ordem de citação, antes da vigência da Lei nº 6.830/80, não tem efeito interruptivo da prescrição. - Tendo a intimação do fiador, que corresponde à citação, ocorrido mais de oito anos após rompido o compromisso do financiamento pelo qual se responsabilizou, em relação a ele também fluiu o prazo qüinqüenal.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2026-10-26T02:39:29.154Z</dcterms:created>
  <dcterms:modified xsi:type="dcterms:W3CDTF">2026-10-26T02:39:29.154Z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