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CASAMENTO</w:t>
      </w:r>
    </w:p>
    <w:p>
      <w:r>
        <w:rPr>
          <w:i/>
          <w:iCs/>
          <w:color w:val="666666"/>
        </w:rPr>
        <w:t xml:space="preserve">REGIME DA COMUNHÃO PARCIAL</w:t>
      </w:r>
    </w:p>
    <w:p/>
    <w:p/>
    <w:p>
      <w:r>
        <w:t xml:space="preserve">02.02.03.01 PARTE ESPECIAL
      Livro II — Do Direito das Coisas
      Título III - Dos Direitos Reais Sobre Coisas Alheias
      Capítulos I a VIII</w:t>
      </w:r>
    </w:p>
    <w:p/>
    <w:p>
      <w:pPr>
        <w:pStyle w:val="Heading2"/>
      </w:pPr>
      <w:r>
        <w:rPr>
          <w:b/>
          <w:bCs/>
        </w:rPr>
        <w:t xml:space="preserve">Ementa</w:t>
      </w:r>
    </w:p>
    <w:p>
      <w:r>
        <w:t xml:space="preserve">PARTE ESPECIAL LIVRO II DO DIREITO DAS COISAS TÍTULO III DOS DIREITOS REAIS SOBRE COISAS ALHEIAS CAPÍTULO I DISPOSIÇÕES GERAIS Art. 674. São direitos reais, além da propriedade: I - a enfiteuse; II - as servidões; III - o usufruto; IV - o uso; V - a habitação; VI - as rendas expressamente constituídas sobre imóveis; VII - o penhor; VIII - a anticrese; IX - a hipoteca. Art. 675. Os direitos reais sobre coisas móveis, quando constituídos, ou transmitidos por atos entre vivos, só se adquirem com a tradição (art. 620). Art. 676. Os direitos reais sobre imóveis constituídos ou transmitidos por atos entre vivos só se adquirem depois da transcrição, ou da inscrição, no Registro de Imóveis, dos referidos títulos (arts. 530, I, e 856), salvo os casos expressos neste Código. Art. 677. Os direitos reais passam com o imóvel para o domínio do adquirente. (Redação dada pelo Decreto do Poder Legislativo nº 3.725, de 15.1.1919) Parágrafo único. O ônus dos impostos sobre prédio transmite-se aos adquirentes, salvo constando da escritura as certidões do recebimento, pelo fisco, dos impostos devidos e, em caso de venda em praça, até o equivalente do preço da arrematação. (Redação dada pelo Decreto do Poder Legislativo nº 3.725, de 15.1.1919) CAPÍTULO II DA ENFITEUSE Art. 678. Dá-se a enfiteuse, aforamento, ou emprazamento, quando por ato entre vivos, ou de última vontade, o proprietário atribui a outrem o domínio útil do imóvel, pagando a pessoa, que o adquire, e assim se constitui enfiteuta, ao senhorio direto uma pensão, ou foro, anual, certo e invariável. Art. 679. O contrato de enfiteuse é perpétuo. A enfiteuse por tempo limitado considera-se arrendamento, e como tal se rege. Art. 680. Só podem ser objeto de enfiteuse terras não cultivadas ou terrenos que se destinem a edificação. Art. 681. Os bens enfitêuticos transmitem-se por herança na mesma ordem estabelecida a respeito dos alodiais nes te Código, arts. 1.603 a 1.619; mas, não podem ser divididos em glebas sem consentimento do senhorio. Art. 682. É obrigado o enfiteuta a satisfazer os impostos e os ônus reais que gravarem o imóvel. Art. 683. O enfiteuta, ou foreiro, não pode vender nem dar em pagamento o domínio útil, sem prévio aviso ao senhorio direto, para que este exerça o direito de opção; e o senhorio direto tem 30 (trinta) dias para declarar, por escrito, datado e assinado, que quer a preferência na alienação, pelo mesmo preço e nas mesmas condições. Se, dentro no prazo indicado, não responder ou não oferecer o preço da alienação, poderá o foreiro efetuá-la com quem entender. Art. 684. Compete igualmente ao foreiro o direito de preferência, no caso de querer o senhorio vender o domínio direto ou dá-lo em pagamento. Para este efeito, ficará o dito senhorio sujeito à mesma obrigação imposta, em semelhantes circunstâncias, ao foreiro. Art. 685. Se o enfiteuta não cumprir o disposto no art. 683, poderá o senhorio direto usar, não obstante, de seu direito de preferência, havendo do adquirente o prédio pelo preço da aquisição. Art. 686. Sempre que se realizar a transferência do domínio útil, por venda ou dação em pagamento, o senhorio direto, que não usar da opção, terá direito de receber do alienante o laudêmio, que será de 2,5% (dois e meio por cento) sobre o preço da alienação, se outro não se tiver fixado no título de aforamento. Art. 687. O foreiro não tem direito à remissão do foro, por esterilidade ou destruição parcial do prédio enfitêutico, nem pela perda total de seus frutos; pode, em tais casos, porém, abandoná-lo ao senhorio direto, e, independentemente do seu consenso, fazer inscrever o ato da renúncia (art. 691). Art. 688. É lícito ao enfiteuta doar, dar em dote, ou trocar por coisa não fungível o prédio aforado, avisando o senhorio direto, dentro em 60 (sessenta) dias, contados do ato da transmissão, sob pena de continuar responsável pelo pag amento do foro. Art. 689. Fazendo-se penhora, por dívidas do enfiteuta, sobre o prédio emprazado, será citado o senhorio direto, para assistir à praça, e terá preferência, quer, no caso de arrematação, sobre os demais lançadores, em condições iguais, quer, em falta deles, no caso de adjudicação. Art. 690. Quando o prédio emprazado vier a pertencer a varias pessoas, estas, dentro em 6 (seis) meses, elegerão um cabecel, sob pena de se devolver ao senhorio o direito de escolha. § 1o Feita a escolha, todas as ações do senhorio contra os foreiros serão propostas contra o cabecel, salvo a este o direito regressivo contra os outro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2026-06-17T16:46:07.366Z</dcterms:created>
  <dcterms:modified xsi:type="dcterms:W3CDTF">2026-06-17T16:46:07.366Z</dcterms:modified>
</cp:coreProperties>
</file>

<file path=docProps/custom.xml><?xml version="1.0" encoding="utf-8"?>
<Properties xmlns="http://schemas.openxmlformats.org/officeDocument/2006/custom-properties" xmlns:vt="http://schemas.openxmlformats.org/officeDocument/2006/docPropsVTypes"/>
</file>