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13/10/1982</w:t>
      </w:r>
    </w:p>
    <w:p/>
    <w:p>
      <w:r>
        <w:t xml:space="preserve">PARTES NÃO INTEGRANTES DO SISTEMA FINANCEIRO DA HABITAÇÃO — LEGALIDADE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apelada julgou procedente ação de rescisão de contrato imobiliário com base em inadimplemento do comprador, constituído em mora mediante notificação. - No apelo, insiste o vencido em que deveria ter sido oficiado ao BNH para indicar da regularidade do contrato com cláusula de correção monetária com base nos índices das ORTNs. - No entanto, a lei não confere àquela entidade a incumbência de intervir em quaisquer processos relativos a imóveis nem como litisconsorte, nem na simples qualidade de "amicus curiae". Por outro lado, a cláusula de correção monetária nas operações imobiliárias em geral pode ser utilizada por pessoas não integrantes do Sistema Financeiro da Habitação, nos termos do artigo 9º, 3º do Decreto-Lei nº 70/66. É esse, exatamente o caso dos autos. - Assim sendo, nega-se provimento ao recurso. Julgado em 14-10-1982 Arquivo do Ementário Forense, TJ/1.092 EMFOR 413 EMENTA: - O Código Tributário Nacional estabelece três fases inconfundíveis: a que vai até a notificação do lançamento ao sujeito passivo, em que corre prazo de decadência (art. 173, I e II); a que se estende da notificação do lançamento até a solução do processo administrativo em que não correm nem prazo de decadência, nem de prescrição, por estar suspensa a exigibilidade do crédito (art. 151, III); a que começa na data da solução final do processo administrativo, quando corre prazo da prescrição da ação judicial da Fazenda (art. 174). V. o t. PRESCRIÇÃO st. AÇÃO FISCAL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 o contrato imobiliário com clausula de correção monetária entre as partes não integrantes do Sistema Financeiro de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2026-07-28T01:54:59.533Z</dcterms:created>
  <dcterms:modified xsi:type="dcterms:W3CDTF">2026-07-28T01:54:59.533Z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