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Julgado em: </w:t>
      </w:r>
      <w:r>
        <w:t xml:space="preserve">16/03/1981</w:t>
      </w:r>
    </w:p>
    <w:p/>
    <w:p>
      <w:r>
        <w:t xml:space="preserve">NÃO PUBLICAÇÃO DE REINCLUSÃO — VÍCIO DO JULGAMENTO - QUANDO SE DISPENSA O PREQUESTIONAMENTO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 do eminente Relator, entendo que não há necessidade de prequestionamento, quando ocorre, como no caso, falta de publicação da pauta. Aliás, frequentemente, assim temos decidido. - Por outro lado, e sendo certos os elementos constantes dos autos que acabaram de ser referidos pelo eminente Relator, torna-se inequívoca a falta de intimação das partes para conhecimento do reingresso do processo na pauta. - Conheço do recurso e lhe dou provimento para o efeito de que, anulado o julgamento, outro seja proferido, como de direito, observadas as formalidades processuais da intimação. Julgado em 17-03-1981 VOTO VENCIDO DO MINISTRO DÉCIO MIRANDA (relator): - A matéria alusiva à nulidade do acórdão não foi ventilada no acórdão recorrido, nem questionada em embargos de declaração. - Insuscetível, pois, de consideração na instância ordinária. (Súmulas 282 (*) e 356 (**)). - É o meu voto, quanto à preliminar. Revista Trimestral de Jurisprudência. Agosto, 1982 - Vol. 101 - Pág. 713 (*) In "EMENTÁRIO FORENSE", nº 195, t. RECURSO EXTRAORDINÁRIO, st. CABIMENTO. (**) In "EMENTÁRIO FORENSE", nº 196 t. RECURSO EXTRAORDINÁRIO, st. CABIMENTO.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falta de intimação dos advogados da parte, por não haver sido publicada a reinclusão, na pauta do processo, o vício é do próprio julgamento, dispensando-se seu prequestionamento por meio de embargos declaratórios.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2026-07-28T01:30:41.673Z</dcterms:created>
  <dcterms:modified xsi:type="dcterms:W3CDTF">2026-07-28T01:30:41.673Z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