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Julgado em: </w:t>
      </w:r>
      <w:r>
        <w:t xml:space="preserve">16/03/1981</w:t>
      </w:r>
    </w:p>
    <w:p/>
    <w:p>
      <w:r>
        <w:t xml:space="preserve">NÃO PUBLICAÇÃO DE REINCLUSÃO — VÍCIO DO JULGAMENTO - QUANDO SE DISPENSA O PREQUESTIONAMENTO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 do eminente Relator, entendo que não há necessidade de prequestionamento, quando ocorre, como no caso, falta de publicação da pauta. Aliás, frequentemente, assim temos decidido. - Por outro lado, e sendo certos os elementos constantes dos autos que acabaram de ser referidos pelo eminente Relator, torna-se inequívoca a falta de intimação das partes para conhecimento do reingresso do processo na pauta. - Conheço do recurso e lhe dou provimento para o efeito de que, anulado o julgamento, outro seja proferido, como de direito, observadas as formalidades processuais da intimação. Julgado em 17-03-1981 VOTO VENCIDO DO MINISTRO DÉCIO MIRANDA (relator): - A matéria alusiva à nulidade do acórdão não foi ventilada no acórdão recorrido, nem questionada em embargos de declaração. - Insuscetível, pois, de consideração na instância ordinária. (Súmulas 282 (*) e 356 (**)). - É o meu voto, quanto à preliminar. Revista Trimestral de Jurisprudência. Agosto, 1982 - Vol. 101 - Pág. 713 (*) In "EMENTÁRIO FORENSE", nº 195, t. RECURSO EXTRAORDINÁRIO, st. CABIMENTO. (**) In "EMENTÁRIO FORENSE", nº 196 t. RECURSO EXTRAORDINÁRIO, st. CABIMENTO.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falta de intimação dos advogados da parte, por não haver sido publicada a reinclusão, na pauta do processo, o vício é do próprio julgamento, dispensando-se seu prequestionamento por meio de embargos declaratórios.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2026-10-16T16:12:22.731Z</dcterms:created>
  <dcterms:modified xsi:type="dcterms:W3CDTF">2026-10-16T16:12:22.731Z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