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26/06/1980</w:t>
      </w:r>
    </w:p>
    <w:p/>
    <w:p>
      <w:r>
        <w:t xml:space="preserve">ESTRANGEIRO DIVORCIADO E BRASILEIRA SOLTEIRA — TRANSCRIÇÃO NO REGISTRO CIVIL - SE DEPENDE DE PRÉVIA HOMOLOGAÇÃO DO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 o parecer da Procuradoria-Geral da República: "Não se pretendeu, no caso que a sentença norte-americana de divórcio produzisse efeitos no Brasil, ou fosse aqui, de qualquer forma, executada. Essa sentença restituiu ao estado de solteiro um súdito norte-americano, que veio em seguida a casar-se com brasileira originalmente solteira, no Estado de Nova Iorque. O que se fez mais tarde, no Brasil, foi promover o registro cartorário do casamento, regularmente contraído no exterior, em circunstâncias inofensivas a ordem pública pátria. Nenhum dispositivo, quer do Código de Processo, quer da Lei de Introdução ao Código Civil quer ainda a legislação sobre registros públicos, viu-se dessa forma afrontado pelo acórdão do Tribunal de Justiça. Julgado em 27-06-1980 Revista Trimestral de Jurisprudência. Janeiro, 1982 - Vol. 99 - Pág. 216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transcrição de casamento celebrado, validamente no exterior entre estrangeiro, ali regularmente divorciado e brasileira solteira, no Registro Civil Brasileiro não depende de prévia homologação da sentença relativa ao divórcio do cônjuge estrangeiro.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2026-07-28T01:33:50.770Z</dcterms:created>
  <dcterms:modified xsi:type="dcterms:W3CDTF">2026-07-28T01:33:50.770Z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