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Julgado em: </w:t>
      </w:r>
      <w:r>
        <w:t xml:space="preserve">21/04/1982</w:t>
      </w:r>
    </w:p>
    <w:p/>
    <w:p>
      <w:r>
        <w:t xml:space="preserve">DANOS MATERIAIS E PESSOAIS — CUMULAÇÃO DE PEDIDOS - EM QUE PRAZOS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ação encerra diversas pretensões, duas das quais relacionadas com a perda do ônibus: dano emergente (...) e lucros cessantes (...), e duas outras referentes a indenizações que teriam sido pagas às vítimas em cujo direito teria se sub-rogado a autora (...). As demais verbas são acessórias: juros, custas e honorários advocatícios (...). - Em sendo assim a prescrição prevista no inciso IX do § 10 do artigo 178 do Código Civil só poderia atingir às pretensões deduzidas sob as letras "a" e "e", porque eram as únicas relacionadas com o dano à propriedade, isto é, com a destruição do ônibus, abrangendo danos emergentes (perda de veículo) e lucros cessantes decorrentes da não utilização do auto. - As pretensões constantes das alíneas "e" e "c" (...) referem-se a danos pessoais, estando, por isso mesmo sujeitas à prescrição vintenária, a teor do disposto no art. 177 do Código Civil. - Fixado esse ponto, impõe-se reconhecer que não assiste razão à apelante quando sustenta que a prescrição da ação por ofensa ou dano à propriedade só ocorre em cinco anos nos casos de crime de dano (...). - Em verdade, há uma corrente que, na esteira da opinião de CÂMARA LEAL, tem entendido que a regra do inciso IX do art. 178 da lei civil só se refere às ações provenientes de delito criminal. - É de se ver, porém, que sem embargo de prestigiosas opiniões, a interpretação que melhor se concilia com o texto legal é a de que dita norma se aplica, indistintamente, a todas as ações reparatórias de danos materiais à propriedade, eis que não há dispositivo em causa, nada que autorize distinguir que o preceito só deve ser invocado em face de dano resultante de crime, e, como não se deve fazer distinção onde a lei não distingue, não há porque limitar a aplicação da aludida regra às ações provenientes de crimes. - Indisputável portanto, a ocorrência da prescrição, mas somente em relação às pretensões deduzidas sob as letras "a" e "e" dado que as demais nada têm a ver com "ofensa ou dano à propriedade" assim, não poderiam ser atingidas pela prescrição prevista no inciso IX do § 10 do art. 178 do Código Civil. - Com esses fundamentos, dá-se provimento parcial ao recurso para, anulando-se a sentença determinar-se a volta dos autos à Vara de origem, para que outra seja proferida tendo-se como prescritas apenas as pretensões deduzidas sob as letras "a" (...) e "e" (...). Julgado em 22-04-1982 Arquivo do Ementário Forense, TA/412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responsabilidade civil por dano à propriedade prescreve em cinco anos (inciso IX do § 10 do artigo 178 do Código Civil) - Se, porém, se trata de ação com cumulação de pedidos, abrangendo danos materiais e danos pessoais a prescrição só atinge aqueles, pois a prescrição referente a danos pessoais é vintenária.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2026-10-26T04:20:36.872Z</dcterms:created>
  <dcterms:modified xsi:type="dcterms:W3CDTF">2026-10-26T04:20:36.872Z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