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COMERCIAL</w:t>
      </w:r>
    </w:p>
    <w:p/>
    <w:p/>
    <w:p>
      <w:r>
        <w:t xml:space="preserve">SE INCIDE SOBRE AS DIFERENÇAS RESULTANTES DA ATUALIZAÇÃO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da Lei nº 6.899, de 8 de abril de 1981. - Decorrendo diretamente da lei, independentemente da prévia concessão por sentença, a correção monetária de que a Lei 6.899, de 1981, legitima-se a sua incidência sobre as diferenças de aluguéis resultantes da sentença proferida em ação revisional. (Ementa do EMENTÁRIO FORENSE). Ver o t. LOCAÇÃO COMERCIAL, st. AÇÃO COMERCIAL EMFOR 412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2026-07-28T00:50:34.380Z</dcterms:created>
  <dcterms:modified xsi:type="dcterms:W3CDTF">2026-07-28T00:50:34.380Z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