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/>
    <w:p>
      <w:r>
        <w:t xml:space="preserve">SE INCIDE SOBRE AS DIFERENÇAS RESULTANTES DA ATUALIZAÇÃO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da Lei nº 6.899, de 8 de abril de 1981. - Decorrendo diretamente da lei, independentemente da prévia concessão por sentença, a correção monetária de que a Lei 6.899, de 1981, legitima-se a sua incidência sobre as diferenças de aluguéis resultantes da sentença proferida em ação revisional. (Ementa do EMENTÁRIO FORENSE). Ver o t. LOCAÇÃO COMERCIAL, st. AÇÃO COMERCIAL EMFOR 412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2026-10-26T03:27:26.005Z</dcterms:created>
  <dcterms:modified xsi:type="dcterms:W3CDTF">2026-10-26T03:27:26.005Z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