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COMERCIAL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29/11/1982</w:t>
      </w:r>
    </w:p>
    <w:p/>
    <w:p>
      <w:r>
        <w:t xml:space="preserve">QUANDO CABE COMO ATUALIZAÇÃO DA CONDENAÇÃO SEM PREVISÃO DA SENTENÇA
E ANTES DA LEI ESPECÍFICA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decisão, ora apelada, homologou cálculo que corrigiu as importâncias correspondentes à condenação àqueles ônus da sucumbência, em face do disposto art. 3º do Decreto nº 86.649/81. - Contra essa decisão, prolatada na oportunidade do art. 605 do C.P.C., foi interposta apelação (...). - .............................................................................................. - Sustenta o Apelante qua a decisão exeqüenda não falava em correção monetária e que se formalizara coisa julgada. - Relembra-se os argumentos expendidos, quando se avaliou a tese pertinente a não ocorrência da coisa julgada, e acrescenta-se que a lei específica determina que se faça a correção monetária de qualquer débito, resultante de decisão judicial, inclusive os relativos a custas e honorários advocatícios (art. 1º). - A dúvida sobre a expressão "causas pendentes" foi eliminada ao considerar-se como ainda em suspenso, o processo a depender da execução. - Ressalte-se - também - que se cuida de dívida de valor e que a correção em causa não majora; nem, ao menos, atualiza o montante daquela condenação; na verdade, a recompõe, a reconstitui a restabelece, torna-a o que era. Não a altera, nem a modifica. - Assim, nega-se provimento à apelação. Julgado em 30-11-1982 Arquivo do Ementário Forense, TJ/1.109 EMFOR 416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 aceitar-se correção monetária, consignada em cálculos, relativos à execução de custas e honorários, ainda que não prevista na sentença exeqüenda, proferida antes da vigência da Lei 6.899, de 08-04-1981, uma vez que se trata de atualização do montante da condenação de origem.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2026-10-26T04:41:46.009Z</dcterms:created>
  <dcterms:modified xsi:type="dcterms:W3CDTF">2026-10-26T04:41:46.009Z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