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COMERCIAL</w:t>
      </w:r>
    </w:p>
    <w:p/>
    <w:p>
      <w:r>
        <w:rPr>
          <w:b/>
          <w:bCs/>
        </w:rPr>
        <w:t xml:space="preserve">Julgado em: </w:t>
      </w:r>
      <w:r>
        <w:t xml:space="preserve">21/12/1981</w:t>
      </w:r>
    </w:p>
    <w:p/>
    <w:p>
      <w:r>
        <w:t xml:space="preserve">LOCADOR QUE PASSA A EXPLORAR O MESMO RAMO DO LOCATÁRIO — PRESSUPOSTO DO DIREITO A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apelante entregou o imóvel porque o apelado queria ampliar sua residência, sem exercitar a renovatória, de acordo com o art. 1º do Decreto nº 24.150/34, que prevê falta de acordo entre os interessados. - Sendo assim, efetivamente, a indenização pleiteada não pode ser concedida, porque presume a proposição da ação renovatória, pouco importando a finalidade que o locador tenha dado ao imóvel que lhe foi entregue. - Aliás, o art. 22 da Lei de Luvas registra que as indenizações a que se referem os artigos precedentes, se não estiverem fixados na sentença da ação principal, devem ser fixadas por processo sumário (artigos 606/608 do Código de Processo Civil), "fundado na sentença da ação de renovação da locação. Julgado em 22-12-1981 Arquivo do Ementário Forense, TA/417 EMFOR 416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Indenização baseada no art. 21, parágrafo 4 do decreto nº 24.150/34. - Se o locador vier a explorar o mesmo ramo de comércio explorado pelo inquilino, cujo o contrato não foi renovado, deve pagar uma indenização pela perda do fundo de comércio que, todavia, pressupõe o exercício da ação renovatória.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2026-10-26T04:18:06.637Z</dcterms:created>
  <dcterms:modified xsi:type="dcterms:W3CDTF">2026-10-26T04:18:06.637Z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