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Mandado de Segurança 1.005</w:t>
      </w:r>
    </w:p>
    <w:p>
      <w:r>
        <w:rPr>
          <w:b/>
          <w:bCs/>
        </w:rPr>
        <w:t xml:space="preserve">Relator: </w:t>
      </w:r>
      <w:r>
        <w:t xml:space="preserve">TYCHO BRAHE</w:t>
      </w:r>
    </w:p>
    <w:p>
      <w:r>
        <w:rPr>
          <w:b/>
          <w:bCs/>
        </w:rPr>
        <w:t xml:space="preserve">Julgado em: </w:t>
      </w:r>
      <w:r>
        <w:t xml:space="preserve">05/05/1982</w:t>
      </w:r>
    </w:p>
    <w:p/>
    <w:p>
      <w:r>
        <w:t xml:space="preserve">DECISÃO TRANSITADA EM JULGADO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orientação dominante do Pretório Excelso ser inadmissível mandado de segurança contra decisão judicial com trânsito em julgado (Súmula 268 (*); RTJ 89/316). - O Ministro VÍTOR LEAL escreve que "com a vigência da Lei nº 1.533, de 1951, surgiram três (3) correntes bem divergentes do ponto de vista das conseqüências práticas. Para não caber o mandado contra ato judicial: uma, basta que o ato seja recorrível, referindo-se alguns a recurso específico, ou recurso próprio, o que vem dar na mesma; outra, é essencial que o recurso seja ordinário; a terceira, é imprescindível que o recurso tenha efeito devolutivo" ("Problemas de Direito Público", pág. 457). - Vê-se que nenhuma dessas posições doutrinárias admite mandado de segurança contra decisão transitada em julgado. - Inadmissível, pois, o "remedium juris", assinala-se, visando a nulificar efeitos de sentença judicial contra a qual não se recorreu, já agora com força de coisa julgada, nos termos da Constituição Federal (art. 153, § 3º), que assegura garantia e respeito à eficácia da sentença com trânsito em julgado, enquanto não ocorrer, pela via própria, se atacável, a sua rescisão. - No caso em exame, vê-se que a sentença, exarada nos autos da ação reivindicatória, que imitiu os autores na posse do imóvel litigioso, transitou em julgado. Com base no " decisum" foi expedido mandado de imissão de posse em favor dos autores. Contra o ato do juiz do primeiro grau, que imitiu os vencedores na posse do imóvel, é que os impetrantes agitam o "writ". - Ora, conforme se viu, não se pode atribuir efeito recursal ao "writ" contra a eficácia da sentença trânsita em julgado, finalidade principal da ação rescisória. - Ademais os impetrantes não usaram do recurso próprio contra o despa cho que imitiu os autores vencedores na posse do terreno objeto da querela na ação principal. - Não usado o recurso próprio, não se conhece "do mandamus" (Mandado de Segurança, nº 999, da comarca de Blumenau, Rel. Des. TYCHO BRAHE - In "Jurisprudência Catarinense", 27/50; Mandado de Segurança nº 1.005, da Comarca de Chapecó, Rel. Des. NÉLSON KONRAD - in "Jurisprudência Catarinense", 30/103; Mandado de Segurança nº 1.044, da comarca de Blumenau, Rel. Des. REYNALDO ALVES - in "Jurisprudência Catarinense", 31/33). - Na mesma linha jurisprudencial acha-se e Excelso Pretório (RE nº 76.909 - RS, Relator Min. ANTONIO NEDER, in R.T.J. 70/516). - Diante de tais entendimentos, ... não se conhece o mandado. Julgado em 06-05-1982 (*) " Não cabe mandado de segurança contra decisão judicial com trânsito em julgado." (Ementário Forense nº 195). Jurisprudência Catarinense. 3º Trimestre, 1982 - nº XXXVII - Pág. 56.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mandado de segurança contra decisão trânsita em julgado, sob pena de transformá-lo em sucedâneo da ação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2026-07-28T00:49:47.528Z</dcterms:created>
  <dcterms:modified xsi:type="dcterms:W3CDTF">2026-07-28T00:49:47.528Z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