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03/02/1982</w:t>
      </w:r>
    </w:p>
    <w:p/>
    <w:p>
      <w:r>
        <w:t xml:space="preserve">INCLUSÃO DOS NOMES DO PAI NATURAL E DOS AVÓS PATERNOS — RECONHECIMENTO DA PATERNIDADE - DEFERIMENTO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indeferimento do pedido formulado pelo apelante teve fundamento na necessidade de promover o requerente a ação de investigação de paternidade. Mas o pai do requerente, espontaneamente e validamente já o perfilhara, comparecendo ao Cartório do Registro Civil e promovendo o assentamento de nascimento em foco. Dir-se-ia que tal reconhecimento não é válido porque o referido assento foi declarado nulo. Isto, entretanto, não ocorre pois o seu cancelamento se deu exclusivamente porque o nascimento já fora anteriormente feito, por providência da mãe do requerente. - O cancelamento importa em nulidade parcial, restando válido o reconhecimento da filiação. - Aliás o cancelamento referido não poderia ter sido feito pela simples manifestação da vontade do registrando. Necessária seria a da declarante também, pelo que, não tendo havido esta, cabia a propositura da ação visando a nulidade alegada, o que não foi providenciado. Mas, ante o fato concreto, a solução é a que alvitrou o douto Procurador de Justiça em seu brilhante e profundo parecer..., ao qual se reporta e cujos fundamentos se adota por inteiro. - Assim, merece provimento a presente apelação para deferir-se o pedido de retificação, suprindo-se a omissão, com a declaração de que a filiação foi reconhecida pelo pai, no termo de registro de nascimento mencionado. Julgado em 04-02-1982 Arquivo do Ementário Forense, TJ/ 1.113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que pede o requerente é o suprimento do assento, com a inclusão dos nomes do pai natural, e dos avós paternos, não há como indeferir o pedido, no caso, eis que, em outro assento, o pai reconheceu espontaneamente a paternidade.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2026-07-28T03:27:26.162Z</dcterms:created>
  <dcterms:modified xsi:type="dcterms:W3CDTF">2026-07-28T03:27:26.162Z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