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TELECOMUNICAÇÕES</w:t>
      </w:r>
    </w:p>
    <w:p/>
    <w:p/>
    <w:p>
      <w:r>
        <w:t xml:space="preserve">01. DECRETO 3.048 DE 06-05-1999 — REGULAMENTO DA PREVIDÊNCIA SOCIAL - DISPOSITIVOS - ALTERA</w:t>
      </w:r>
    </w:p>
    <w:p/>
    <w:p>
      <w:pPr>
        <w:pStyle w:val="Heading2"/>
      </w:pPr>
      <w:r>
        <w:rPr>
          <w:b/>
          <w:bCs/>
        </w:rPr>
        <w:t xml:space="preserve">Ementa</w:t>
      </w:r>
    </w:p>
    <w:p>
      <w:r>
        <w:t xml:space="preserve">DECRETO Nº 4.032, DE 26 DE NOVEMBRO DE 2001 Altera dispositivos do Regulamento da Previdência Social, aprovado pelo Decreto nº 3.048, de 6 de maio de 1999. O PRESIDENTE DA REPÚBLICA, no uso da atribuição que lhe confere o art. 84, inciso IV, da Constituição, DECRETA: Art. 1º O Regulamento da Previdência Social, aprovado pelo Decreto nº 3.048, de 6 de maio de 1999, passa a vigorar com as seguintes alterações: "Art. 9º .............. .......................... V - .................... ......................... n) o cooperado de cooperativa de produção que, nesta condição, presta serviço à sociedade cooperativa mediante remuneração ajustada ao trabalho executado; e ........................ § 8º ................. I - o membro do grupo familiar que possui outra fonte de rendimento, qualquer que seja a sua natureza, ressalvados o disposto no § 10 e a pensão por morte deixada por segurado especial; ........................ § 15. ............... ........................ XI - o pescador que trabalha em regime de parceria, meação ou arrendamento, em embarcação com mais de seis toneladas de arqueação bruta, ressalvado o disposto no inciso III do § 14; ......................... XV - o membro de conselho tutelar de que trata o art. 132 da Lei nº 8.069, de 13 de julho de 1990, quando remunerado; XVI - o interventor, o liquidante, o administrador especial e o diretor fiscal de instituição financeira de que trata o § 6º do art. 201. ..............." (NR) "Art. 14. O reconhecimento da perda da qualidade de segurado no termo final dos prazos fixados no art. 13 ocorrerá no dia seguinte ao do vencimento da contribuição do contribuinte individual relativa ao mês imediatamente posterior ao término daqueles prazos." (NR) "Art. 16. ........... ......................... § 3º Equiparam-se aos filhos, nas condições do inciso I, mediante declaração escrita do segurado, comprovada a dependência econômic a na forma estabelecida no § 3º do art. 22, o enteado e o menor que esteja sob sua tutela e desde que não possua bens suficientes para o próprio sustento e educação. .............." (NR) "Art. 23. Ocorrendo o falecimento do segurado, sem que tenha sido feita a inscrição do dependente, cabe a este promovê-la, observados os critérios definidos no art. 22. Parágrafo único. No caso de equiparado a filho, a inscrição será feita mediante a comprovação da equiparação, da dependência econômica e da declaração de que não tenha sido emancipado."(NR) "Art. 68. ........... ......................... § 2º A comprovação da efetiva exposição do segurado aos agentes nocivos será feita mediante formulário denominado perfil profissiográfico previdenciário, na forma estabelecida pelo Instituto Nacional do Seguro Social, emitido pela empresa ou seu preposto, com base em laudo técnico de condições ambientais do trabalho expedido por médico do trabalho ou engenheiro de segurança do trabalho. ......................... § 6º A empresa deverá elaborar e manter atualizado perfil profissiográfico previdenciário, abrangendo as atividades desenvolvidas pelo trabalhador e fornecer a este, quando da rescisão do contrato de trabalho, cópia autêntica deste documento, sob pena da multa prevista no art. 283. § 7º O laudo técnico de que tratam os §§2º e 3º deverá ser elaborado com observância das Normas Reguladoras editadas pelo Ministério do Trabalho e Emprego e demais orientações expedidas pelo Ministério da Previdência e Assistência Social. § 8º Considera-se perfil profissiográfico previdenciário, para os efeitos do § 6º, o documento histórico-laboral do trabalhador, segundo modelo instituído pelo Instituto Nacional do Seguro Social, que, entre outras informações, deve conter registros ambientais, resultados de monitoração biológica e dados administrativos." (NR) "Art. 104. O auxílio-acidente será concedido, como indenização, ao segurado empregado, exceto o doméstico , ao trabalhador avulso e ao segurado especial quando, após a consolidação das lesões decorrentes de acidente de qualquer natureza, resultar seqüela definitiva que implique: .............." (NR) "Art. 105. ......... I - do óbito, quando requerida: a) pelo dependente maior de dezesseis anos de idade, até trinta dias depois; e b) pelo dependente menor até dezesseis anos de idade, até trinta dias após completar essa idade; ........................ § 1º No caso do disposto no inciso II, a data de início do benefício será a data do óbito, aplicados os devidos reajustamentos até a data de início do pagamento, não sendo devi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2026-07-28T00:32:12.767Z</dcterms:created>
  <dcterms:modified xsi:type="dcterms:W3CDTF">2026-07-28T00:32:12.767Z</dcterms:modified>
</cp:coreProperties>
</file>

<file path=docProps/custom.xml><?xml version="1.0" encoding="utf-8"?>
<Properties xmlns="http://schemas.openxmlformats.org/officeDocument/2006/custom-properties" xmlns:vt="http://schemas.openxmlformats.org/officeDocument/2006/docPropsVTypes"/>
</file>