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ESTATUTO DA ADVOCACIA E DA OAB</w:t>
      </w:r>
    </w:p>
    <w:p/>
    <w:p>
      <w:r>
        <w:rPr>
          <w:b/>
          <w:bCs/>
        </w:rPr>
        <w:t xml:space="preserve">Recurso: </w:t>
      </w:r>
      <w:r>
        <w:t xml:space="preserve">Recurso Especial 108.259/</w:t>
      </w:r>
    </w:p>
    <w:p>
      <w:r>
        <w:rPr>
          <w:b/>
          <w:bCs/>
        </w:rPr>
        <w:t xml:space="preserve">Relator: </w:t>
      </w:r>
      <w:r>
        <w:t xml:space="preserve">CÉSAR ASFOR ROCHA</w:t>
      </w:r>
    </w:p>
    <w:p/>
    <w:p>
      <w:r>
        <w:t xml:space="preserve">CONTRATO DE ABERTURA DE CRÉDITO EM CONTA CORRENTE — CARACTERIZAÇÃO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Embora aqui se trate de contrato de abertura de conta corrente, a situação é análoga aos casos de contrato de abertura de crédito. - Após longos debates, a Segunda Seção desta Corte, em decisão proferida nos autos dos Embargos de Divergência no Recurso Especial n. 108.259/RS, firmou o entendimento no sentido de que o contrato de abertura de crédito, mesmo subscrito por quem é indicado em débito e assinado por duas testemunhas, não constitui título executivo, ainda quando a execução seja instruída com extratos e que os lançamentos fiquem devidamente esclarecidos, com explicitação dos cálculos, dos índices e dos critérios adotados para a definição do débito, por constituírem documentos unilaterais de cuja formação não participou o eventual devedor. E há pouco, tal orientação jurisprudencial cristalizou-se no enunciado da Súmula n. 233 desta Casa: "O contrato de abertura de crédito, ainda que acompanhado de extrato da conta corrente, não é título executivo". - Nessas condições, perfeitamente compreensivo que a instituição financeira optasse pela ação monitória para não correr o risco de deparar-se com a construção pretoriana que nega àquele contrato a qualidade de título executivo extrajudicial. Ao depois, sabe-se que nem sempre o banco está em condições de apresentar um completo demonstrativo contábil, de modo a evidenciar de modo cabal e pleno a evolução do débito exigido. Continua presente aí o risco de ver indeferido o processo de execução. - Considero, pois, que o Acórdão recorrido, desatendendo aos princípios da economia processual, celeridade e instrumentalidade das formas, vulnerou o art. 1.102a do Código de Processo Civil. - De outro lado, esta Colenda Quarta Turma já decidiu que, "não se prestando à via executiva e constituindo-se de documento particula r, assinado pelos devedores, bastante a comprovar a existência do débito, o contrato de abertura de crédito mostra-se hábil à utilização do procedimento monitório, no qual, insurgindo-se a parte ré, abre-se a via do contraditório amplo, pelos embargos" (REsp n. 218.459/RS, Rel. Min. SÁLVIO DE FIGUEIREDO TEIXEIRA). Confiram-se ainda, entre outros, os REsp’s ns. 146.511/MG, de minha relatoria e 234.563/RS, Rel. Min. CÉSAR ASFOR ROCHA. Igual a diretriz esposada pela C. Terceira Turma (REsp n. 178.373/MG, Relator Ministro WALDEMAR ZVEITER, e REsp n. 203.768/RS, Relator Ministro CARLOS ALBERTO MENEZES DIREITO). - Ante o exposto, conheço do recurso por ambas as alíneas e dou-lhe provimento, a fim de que, afastada a extinção do processo, o MM. Juiz de Direito julgue a causa pelo seu merecimento, como entender de direito. - É o meu voto. Ac. de 27-06-2000 DJ de 11-09-2000 (Reg. nº 2000.0021012-9) LEX - JSTJ e TRF - Vol. 136 - Pág. 121 EMFOR 631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contrato de abertura de crédito em conta corrente constitui prova escrita hábil ao ajuizamento da ação monitória.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2026-09-11T00:28:50.080Z</dcterms:created>
  <dcterms:modified xsi:type="dcterms:W3CDTF">2026-09-11T00:28:50.080Z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