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01.01.02 PARTE PRIMEIRA — Do Comércio em Geral
      TÍTULO I - Dos Comerciantes
      Capítulo II - Das Obrigações Comuns a Todos os Comerciantes</w:t>
      </w:r>
    </w:p>
    <w:p/>
    <w:p>
      <w:pPr>
        <w:pStyle w:val="Heading2"/>
      </w:pPr>
      <w:r>
        <w:rPr>
          <w:b/>
          <w:bCs/>
        </w:rPr>
        <w:t xml:space="preserve">Ementa</w:t>
      </w:r>
    </w:p>
    <w:p>
      <w:r>
        <w:t xml:space="preserve">CAPÍTULO II - DAS OBRIGAÇÕES COMUNS A TODOS OS COMERCIANTES (arts. 10º a 20) Art. 10º. Todos os comerciantes são obrigados: 1º. a seguir uma ordem uniforme de contabilidade e escrituração, e a ter os livros para esse fim necessários; 2º. a fazer registrar no Registro do Comércio todos os documentos, cujo registro for expressamente exigido por este Código, dentro de 15 (quinze) dias úteis da data dos mesmos documentos (art. 31), se maior ou menor prazo se não achar marcado neste Código; 3º. a conservar em boa guarda toda a escrituração, correspondências e mais papéis pertencentes ao giro do seu comércio, enquanto não prescreverem as ações que lhes possam ser relativas (Tit. XVII); 4º. a formar anualmente um balanço geral do seu ativo e passivo, o qual deverá compreender todos os bens de raiz, móveis e semoventes, mercadorias, dinheiros, papéis de crédito, e outra qualquer espécie de valores, e bem assim todas as dívidas e obrigações passivas; e será datado e assinado pelo comerciante a quem pertencer. Art. 11. Os livros que os comerciantes são obrigados a ter indispensavelmente, na conformidade do artigo antecedente, são o Diário e o Copiador de cartas. Art. 12. No Diário é o comerciante obrigado a lançar com individuação e clareza todas as suas operações de comércio, letras e outros quaisquer papéis de crédito que passar, aceitar, afiançar ou endossar, e em geral tudo quanto receber e despender de sua ou alheia conta, seja por que título for, sendo suficiente que as parcelas de despesas domésticas se lancem englobadas na data em que forem extraídas da caixa. Os comerciantes de retalho deverão lançar diariamente no Diário a soma total das suas vendas a dinheiro, e, em assento separado, a soma total das vendas fiadas no mesmo dia. No mesmo Diário se lançará também em resumo o bal anço geral (art. 10º, nº.4), devendo aquele conter todas as verbas deste, apresentando cada uma verba a soma total das respectivas parcelas; e será assinado na mesma data do balanço geral. No Copiador o comerciante é obrigado a lançar o registro de todas as cartas missivas que expedir, com as contas, faturas ou instruções que as acompanharem. Art. 13. Os livros sobreditos devem ser encadernados, numerados, selados e rubricados em todas as suas folhas por um dos membros do Tribunal do Comércio respectivo, a quem couber por distribuição, com termos de abertura e encerramento subscritos pelo secretário do mesmo tribunal e assinados pelo presidente. Nas províncias onde não houver Tribunal do Comércio, as referidas formalidades serão preenchidas pela Relação do distrito; e, na falta desta, pela primeira autoridade judiciária da comarca do domicílio do comerciante, e pelo seu distribuidor e escrivão; se o comerciante não preferir antes mandar os seus livros ao Tribunal do Comércio. A disposição deste artigo só começará a obrigar desde o dia que os Tribunais do Comércio, cada um no seu respectivo distrito, designarem. Art. 14. A escrituração dos mesmos livros será feita em forma mercantil, e seguida pela ordem cronológica de dia, mês e ano, sem intervalo em branco, nem entrelinhas, borraduras, raspaduras ou emendas. Art. 15. Qualquer dos dois mencionados livros, que for achado com algum dos vícios especificados no artigo precedente, não merecerá fé alguma nos lugares viciados a favor do comerciante a quem pertencer, nem no seu todo, quando lhes faltarem as formalidades prescritas no art. 13, ou os seus vícios forem tantos ou de tal natureza que o tornem indigno de merecer fé. Art. 16. Os mesmos livros, para serem admitidos em juízo, deverão achar-se escritos no idioma do país; se por serem de negociantes estrangeiros estiverem em diversa língua, serão primeiro traduzidos na parte relativa à questão, por intérprete juramentado, que deverá ser nomeado a aprazimento de ambas as partes, não o havendo público; ficando a estas o direito de contestar a tradução de menos exata. Art. 17. Nenhuma autoridade, juízo ou tribunal, debaixo de pretexto algum, por mais especioso que seja, pode praticar ou ordenar alguma diligência para examinar se o comerciante arruma ou não devidamente seus livros de escrituração mercantil, ou neles tem cometido algum vício. Art. 18. A exibição judicial dos livros de escrituração comercial por inteiro, ou de balanços gerais de qualquer casa de comércio, só pode ser ordenada a favor dos interessados em questões de sucessão, comunhão ou sociedade, administração ou gestão mercantil por conta de outrem, e em caso de quebra. Art. 19. Tod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2026-07-28T00:12:22.306Z</dcterms:created>
  <dcterms:modified xsi:type="dcterms:W3CDTF">2026-07-28T00:12:22.306Z</dcterms:modified>
</cp:coreProperties>
</file>

<file path=docProps/custom.xml><?xml version="1.0" encoding="utf-8"?>
<Properties xmlns="http://schemas.openxmlformats.org/officeDocument/2006/custom-properties" xmlns:vt="http://schemas.openxmlformats.org/officeDocument/2006/docPropsVTypes"/>
</file>