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CONSTRUTOR PROMITENTE VENDEDOR</w:t>
      </w:r>
    </w:p>
    <w:p/>
    <w:p>
      <w:r>
        <w:rPr>
          <w:b/>
          <w:bCs/>
        </w:rPr>
        <w:t xml:space="preserve">Recurso: </w:t>
      </w:r>
      <w:r>
        <w:t xml:space="preserve">REsp 40.263</w:t>
      </w:r>
    </w:p>
    <w:p/>
    <w:p>
      <w:r>
        <w:t xml:space="preserve">QUOTAS EM ATRASO — COBRANÇA AO PROMITENTE-COMPRADOR -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cobrança de cotas condominiais, em que o réu alegou preliminar de ilegitimidade passiva, em razão de contrato de promessa de compra e venda celebrado com terceiro. A questão encontra-se pacificada nesta Corte (REsp’s ns. 74.495, 185.652, 122.924, entre outros). Tenho que em bem resumida a controvérsia em voto proferido pelo Ministro CLÁUDIO SANTOS, por ocasião do julgamento do REsp n. 40.263: "Falando o parágrafo único do art. 4º em adquirente, parece, à primeira vista, que a lei se reporta apenas ao comprador. No entanto, um exame mais cuidadoso do art. 4º leva à conclusão de que a expressão é ampla e abrange igualmente o compromissário-comprador, o promitente-cessionário de direito à aquisição da unidade autônoma e até o permutante do terreno por apartamento do futuro edifício e o arrematante, pois o art. 4º refere-se à alienação e à transferência de direitos pertinentes à aquisição. De outra parte, pondere-se que a Lei n. 4.591 utiliza, em várias passagens, a palavra adquirente referindo-se a compromissário-comprador de fração ideal de terreno e da unidade a que ela se refere (cf. arts. 44 e 45)". - Ressalte-se que o art. 9º da Lei n. 4.591/64, ao dispor sobre a convenção de condomínio, estabelece que será elaborada pelos "proprietários, promitentes-compradores, cessionários ou promitentes-cessionários dos direitos pertinentes à aquisição de unidades autônomas em edificações a serem construídas, em construção ou já construídas". Nenhuma referência à necessidade de registro das promessas ou da cessão dessas, o que também não consta do § 2º do mesmo dispositivo, ao tratar daqueles para quem é a convenção obrigatória. - Conheço do recurso e dou-lhe provimento para julgar improcedente a ação, invertidos os ônus da sucumbên cia. A hipótese é de improcedência, pois declarada inexistente a relação de direito material. Ac. de 07-07-1999 VOTO VENCIDO DO MINISTRO ARI PARGENDLER - O sujeito passivo, natural, na ação de cobrança de quotas condominiais é o proprietário da unidade predial, assim como registrado no Ofício Imobiliário. - Admito a legitimidade concorrente do promitente-comprador, ainda que não tenha título registrado. Mas o reconhecimento da legitimidade exclusiva do promitente-comprador se sobrepõe ao direito positivo, a cujo teor a obrigação é, sim, do condômino. - O promitente-comprador, enquanto possuidor, pode ser obrigado ao pagamento das quotas condominiais. A final, aproveita os serviços prestados pelo condomínio. Agora, essa legitimidade "ad causam", construída jurisprudencialmente, não exclui a do proprietário, que é o sujeito primeiro da obrigação. - Voto, por isso, no sentido de não conhecer do recurso especial. DJ de 29-11-1999 (Reg. nº 99.0032273-8) LEX - JSTJ e TRF - Vol. 127 - Pág. 199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pelo pagamento das cotas condominiais é do promitente-comprador e, não, do vendedor, nos termos do art. 4º da Lei n. 4.591/64.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2026-09-10T23:20:30.561Z</dcterms:created>
  <dcterms:modified xsi:type="dcterms:W3CDTF">2026-09-10T23:20:30.561Z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