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EMPRESA DISTRIBUIDORA DE GÁS</w:t>
      </w:r>
    </w:p>
    <w:p/>
    <w:p/>
    <w:p>
      <w:r>
        <w:t xml:space="preserve">SINISTRO OCORRIDO NA VIGÊNCIA DO FINANCIAMENTO — DEVER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 os danos tivessem ocorrido comprovadamente após a quitação, seria cogitável a exoneração da empresa da responsabilidade pelo seguro; contudo, consoante o laudo do perito, a dívida fora extinta após a emissão do Aviso de Sinistro Compreensivo (fls.), e a seguradora apelante não logrou demonstrar que o sinistro ocorreu fora do período de vigência do financiamento. - É de clareza solar, portanto, a responsabilidade da apelante, porquanto a quitação do contrato de mútuo após o sinistro não possui o condão de afastar seu dever de indenizar, eis que o evento danoso ocorreu durante o período em que o imóvel estava coberto pelo seguro. Ac. de 22-09-1998 Arquivo do EMFOR, TJ/N 3.956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sinistro ocorreu na vigência do financiamento concedido pelo SFH e, conseqüentemente, durante o período de cobertura previsto no contrato de seguro habitacional, é dever da Companhia Seguradora indenizar o mutuário, pois a posterior quitação do contrato não possui o condão de extinguir o dever de reparar os prejuízos suportados pelo segurado.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2026-07-28T00:52:15.767Z</dcterms:created>
  <dcterms:modified xsi:type="dcterms:W3CDTF">2026-07-28T00:52:15.767Z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