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DE MERCADORIA</w:t>
      </w:r>
    </w:p>
    <w:p/>
    <w:p/>
    <w:p>
      <w:r>
        <w:t xml:space="preserve">SINISTRO OCORRIDO NA VIGÊNCIA DO FINANCIAMENTO — DEVER DE INDENIZAR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................................................................. - Descabida, ... a pretensão da seguradora no que diz respeito à ilegitimidade de alguns dos autores, em número de 07 (sete), porque já teriam pago seu débito, tendo já seus imóveis sido quitados, estando, por isso, fora da cobertura securitária. - Sucede que se o sinistro ocorreu na vigência do financiamento concedido pelo SFH e, consequentemente, durante o período de cobertura previsto no contrato de seguro habitacional, é dever da Companhia Seguradora indenizar o mutuário, pois a posterior quitação do contrato não possui o condão de extinguir o dever de reparar os prejuízos suportados pelo segurado. - .............................................................. Ac. de 01-02-2000 Arquivo do EMFOR, TJ/N 3.970 EMFOR 635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sinistro ocorreu na vigência do financiamento concedido pelo SFH E, CONSEQUENTEMENTE, DURANTE O PERÍODO DE COBERTURA PREVISTO NO CONTRATO DE SEGURO HABITACIONAL, É DEVER DA COMPANHIA SEGURADORA INDENIZAR O MUTUÁRIO, POIS A POSTERIOR QUITAÇÃO DO CONTRATO NÃO POSSUI O CONDÃO DE ATINGIR O DEVER DE REPARAR OS PREJUÍZOS SUPORTADOS PELO SEGURADO.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2026-10-26T02:25:01.536Z</dcterms:created>
  <dcterms:modified xsi:type="dcterms:W3CDTF">2026-10-26T02:25:01.536Z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