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DESAPROPRIAÇÃO INDIRETA</w:t>
      </w:r>
    </w:p>
    <w:p>
      <w:r>
        <w:rPr>
          <w:i/>
          <w:iCs/>
          <w:color w:val="666666"/>
        </w:rPr>
        <w:t xml:space="preserve">JUROS COMPENSATÓRIOS E MORATÓRIOS</w:t>
      </w:r>
    </w:p>
    <w:p/>
    <w:p>
      <w:r>
        <w:rPr>
          <w:b/>
          <w:bCs/>
        </w:rPr>
        <w:t xml:space="preserve">Julgado em: </w:t>
      </w:r>
      <w:r>
        <w:t xml:space="preserve">18/09/1980</w:t>
      </w:r>
    </w:p>
    <w:p/>
    <w:p>
      <w:r>
        <w:t xml:space="preserve">PROVA PRÉ-CONSTITUÍDA DA PATERNIDADE — QUANDO É PRESSUPOSTO À PRETENSÃO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acórdão recorrido, no voto do relator, o nobre Desembargador ATHOS GUSMÃO CARNEIRO, se reporta a decisão do Supremo Tribunal, relator o Ministro OSWALDO TRIGUEIRO. Esse aresto publicado na RTJ 69/434, trás a seguinte ementa: "Ação de alimentos proposta de acordo com a Lei n. 5.478/68. Não é meio idôneo para investigação de paternidade contestada. Recurso conhecido e provido." - A essa decisão, o Ministério Público Federal, representando a menor, opôs embargos de divergência. O Tribunal Pleno, em julgamento findo a 23.05.79, conheceu, à unanimidade, dos embargos porém, por maioria, os rejeitou. Esta a suma do acórdão: "Ação de alimentos proposta com base Lei n. 5.478/68 pressupõe prova pré-constituída do parentesco ou da obrigação alimentar, não sendo meio idôneo para a investigação de paternidade contestada" (Ementário n. 1.142-1). - Juntamente com outros Ministros, fiquei vencido. Embora mantendo a minha opinião, que ressalvo, curvo-me, contudo, à orientação pela qual se inclinou o Plenário desta Corte. Assim, conhecendo do recurso, pelo dissídio, nego-lhe provimento. Julgado em 19-09-1980 Revista Trimestral de Jurisprudência. Abril, 1981 - Vol. 96 - Pág. 216 EMFOR 408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Ação de alimentos proposta com fundamento na Lei n. 5.478/68 pressupõe, de acordo com a orientação do Supremo Tribunal, prova pré-constituída do parentesco ou da obrigação de alimentar.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2026-07-28T03:18:13.309Z</dcterms:created>
  <dcterms:modified xsi:type="dcterms:W3CDTF">2026-07-28T03:18:13.309Z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