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11/02/1981</w:t>
      </w:r>
    </w:p>
    <w:p/>
    <w:p>
      <w:r>
        <w:t xml:space="preserve">SE ABRANGE O OBJETO DE ALIENAÇÃO FIDUCIÁRIA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já decidiu esta C. 5ª Câmara quando do julgamento da Ap. Civil 237.353, de São Paulo, ''não é admissível, no caso, a restituição em pecúnia dos bens que não foram encontrados entre os arrecadados. Embora o art. 7º do Dec.-lei n.911/69 admita, na falência do devedor, o pedido de restituição dos bens dados em alienação fiduciária, o negócio continua regido pelas normas que lhe são próprias. Sendo assim, na hipótese de não se encontrarem os bens em poder do devedor, poderá o credor apreendê-los de terceiros ou promover a ação de depósito contra o depositário, se for o caso (arts. 3º , 4º , do Dec.-lei n. 911/69). Não pode, porém, exigir o valor em pecúnia do objeto em garantia, mesmo porque seu crédito pode ser inferior ao valor da coisa'' (RT 507/77). - Assim, como ''somente os bens arrecadados pelo síndico da massa falida podem ser objeto de restituição, salvo a exceção do § 2º do art. 76 da lei de Falências, que não abrange objeto de alienação fiduciária'' (RT 526/102), dão provimento ao apelo e julgam improcedente o pedido. (...). Julgado em 12-02-1981 Revista dos Tribunais. Agosto, 1981 - Vol. 550 - Pág. 59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os bens arrecadados pelo síndico da massa falida podem ser objeto de restituição, salvo a exceção do § 2º do art. 76 da Lei de Falências, que não abrange objeto de alienação fiduciária.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2026-07-28T02:17:42.910Z</dcterms:created>
  <dcterms:modified xsi:type="dcterms:W3CDTF">2026-07-28T02:17:42.910Z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