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DESAPROPRIAÇÃO INDIRETA</w:t>
      </w:r>
    </w:p>
    <w:p>
      <w:r>
        <w:rPr>
          <w:i/>
          <w:iCs/>
          <w:color w:val="666666"/>
        </w:rPr>
        <w:t xml:space="preserve">JUROS COMPENSATÓRIOS E MORATÓRIOS</w:t>
      </w:r>
    </w:p>
    <w:p/>
    <w:p/>
    <w:p>
      <w:r>
        <w:t xml:space="preserve">SUA LEGITIMIDADE PARA PROPOR AÇÃO RESCISÓRIA CONTRA A SENTENÇA QUE DECRETA A FALÊNCIA DA SOCIEDADE — QUANDO SE CARACTERIZA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Interpretação do art. 487, II, do Código de Processo Civil e dos artigos 87, parágrafo único, 94 e 105 do Decreto-lei n. 3.627, de 1940. - O sócio majoritário de empresa que não foi parte no processo falimentar tem legitimidade ativa "ad causam" para propor ação rescisória contra sentença que declarou a auto-falência da referida empresa sem a prévia autorização da assembléia geral. V. o t. AÇÃO RESCISÓRIA, st. LEGITIMIDADE ATIVA EMFOR 408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2026-07-27T23:53:48.758Z</dcterms:created>
  <dcterms:modified xsi:type="dcterms:W3CDTF">2026-07-27T23:53:48.758Z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