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71.578</w:t>
      </w:r>
    </w:p>
    <w:p>
      <w:r>
        <w:rPr>
          <w:b/>
          <w:bCs/>
        </w:rPr>
        <w:t xml:space="preserve">Julgado em: </w:t>
      </w:r>
      <w:r>
        <w:t xml:space="preserve">11/05/1981</w:t>
      </w:r>
    </w:p>
    <w:p/>
    <w:p>
      <w:r>
        <w:t xml:space="preserve">NOVO ALUGUEL — A PARTIR DE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Ao instituir a ação revisória de aluguel no art. 31 do Decreto n. 24.150/34, o legislador não fixou o dia a partir do qual haja de vigorar o novo preço da locação. - Considerando esse falta, o Supremo Tribunal firmou, em sua jurisprudência, o princípio que se acha condensado no verbete 180 da Súmula, qual seja o de que o novo aluguel, no caso, vigorar a partir do laudo que a sentença tenha seguido para fixá-lo. - Sucede, porém, que, por vezes, o perito, ao arbitrar o justo preço da locação, considera a situação econômica vigorante no tempo da inicial naquela demanda, e não a que predomina ao ensejo da perícia. - Baseado em tal circunstância, o Supremo vem adotando, em vários julgamentos a orientação que abranda a orientação do citado verbete. - É o que se verifica nos acórdãos proferidos nestes casos: RE 71.578, RE 72.093, RE 63.385, RE 42.318, RE 62.624, RE 69.064, todos publicados na Revista Trimestral de Jurisprudência. Julgado em 12-05-1981 Revista Trimestral de Jurisprudência. Março, 1982 - Vol. 99 - Pág. 1.147 (*) "Não ação revisional do artigo 31 do Decreto nº 24.150, de 20 de abril de 1934, o aluguel arbitrado vigora a partir do laudo pericial."(EMENTÁRIO FORENSE, Nº 194)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novo preço de locação vigora a partir do laudo pericial seguido pela sentença caso o perito, ao elaborá-lo, haja considerado a situação econômica predominante no momento em que foi ele redigido, mas o novo aluguel vigora a partir do ajuizamento da inicial se o perito ao escrever o laudo, considerar a situação econômica do tempo desse 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2026-07-27T23:26:41.247Z</dcterms:created>
  <dcterms:modified xsi:type="dcterms:W3CDTF">2026-07-27T23:26:41.247Z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