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25/12/1979</w:t>
      </w:r>
    </w:p>
    <w:p/>
    <w:p>
      <w:r>
        <w:t xml:space="preserve">Fevereiro, 1982 — Vol. 99 - Pág. 736
EMFOR 408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pais da menor efetuaram-lhe o registro originário de nascimento em Cáli Colômbia, e, somente após o decurso de certo prazo, transcreveram no livro da embaixada do Brasil em Bogotá, o primeiro registro. - Ora, o dispositivo constitucional (art. 145, I, letra e, primeira parte), exige o registro originário na embaixada, e não a mera transcrição do registro da menor no Registro Civil de Cali. - Ora, tanto a disposição referida, quanto o art. 32 da Lei dos Registros públicos, exigem o registro originário na Embaixada, de filho de brasileiro residente no exterior, não importando, não esteja a serviço do Brasil. - O que importa é o registro primário, melhor dizendo originário, como brasileiro, no livro próprio da Embaixada, hipótese fora de cogitação no caso "sub judice", entretanto, o "paeceptum iuris" da parte final do art. 145, I, letra c da Constituição Federal vigente resguarda os interesses da menor, através da possibilidade de opção pela nacionalidade brasileira, no quadriênio seguinte à sua maioridade. Julgado em 26-12-1979 Arquivo do Ementário Forense, TA/396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32 da Lei dos Registros Públicos. - Não se considera brasileira nata, para os fins do disposto na primeira parte da letra "c", I do art. 145 da Constituição Federal vigente, a menor registrada originariamente no Registro Civil de Cali, Colômbia, cuja certidão foi registrada e lançada no Livros de Atos de Registro Civil do Serviço Consultar da Embaixada do Brasil em Bogotá. Tal impedimento não retira à menor o direito de opção pela nacionalidade brasileira no quadriênio seguinte à maioridade (art. 145, I, letra "c", in fine).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2026-07-28T00:37:50.053Z</dcterms:created>
  <dcterms:modified xsi:type="dcterms:W3CDTF">2026-07-28T00:37:50.053Z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